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JTDP/331/2021 vom 15. März 2021</w:t>
      </w:r>
    </w:p>
    <w:p>
      <w:r>
        <w:t>GE Cour de justice, 2021-03-15, FR</w:t>
      </w:r>
    </w:p>
    <w:p>
      <w:r>
        <w:rPr>
          <w:b/>
        </w:rPr>
        <w:t xml:space="preserve">Quelle: </w:t>
      </w:r>
      <w:r>
        <w:t>https://mcp.opencaselaw.ch/entscheid/ge_gerichte_JTDP_331_2021</w:t>
      </w:r>
    </w:p>
    <w:p>
      <w:r>
        <w:t>FR: GE_GERICHTE JTDP/331/2021 du 15 mars 2021</w:t>
      </w:r>
    </w:p>
    <w:p>
      <w:r>
        <w:t>IT: GE_GERICHTE JTDP/331/2021 del 15 marzo 2021</w:t>
      </w:r>
    </w:p>
    <w:p>
      <w:pPr>
        <w:pStyle w:val="Heading2"/>
      </w:pPr>
      <w:r>
        <w:t>Erwägungen</w:t>
      </w:r>
    </w:p>
    <w:p>
      <w:r>
        <w:rPr>
          <w:b/>
        </w:rPr>
        <w:t>E. 2</w:t>
      </w:r>
    </w:p>
    <w:p>
      <w:r>
        <w:t>p. 15 s.; BOPP Michael, op. cit., n° 19 ad art. 26 LArm) et, troisièmement, celle de conserver ces différents éléments sous clé, sans qu'ils soient visibles, afin d'en empêcher l'accès aux tiers (Arrêt du Tribunal fédéral 6B_1371/2017 du 22 mai 2018, consid. 1.2 et les références citées).</w:t>
      </w:r>
    </w:p>
    <w:p>
      <w:r>
        <w:t>- 11 -</w:t>
      </w:r>
    </w:p>
    <w:p>
      <w:r>
        <w:t>P/1232/2020</w:t>
      </w:r>
    </w:p>
    <w:p>
      <w:r>
        <w:t>2.1.2. Selon l'art. 34 al. 1 let. e LArm, est puni de l'amende quiconque, en tant que particulier, omet de conserver avec prudence des armes, des éléments essentiels d'armes, des composants d'armes spécialement conçus, des accessoires d'armes, des munitions ou des éléments de munitions (art. 26 al. 1).</w:t>
      </w:r>
    </w:p>
    <w:p>
      <w:r>
        <w:rPr>
          <w:b/>
        </w:rPr>
        <w:t>E. 2.2</w:t>
      </w:r>
    </w:p>
    <w:p>
      <w:r>
        <w:t>En l'espèce, il est établi par les constatations et les saisies de police que le prévenu a, en date du 27 mars 2019, entreposé sur son bateau – à tout le moins – trois pistolets et quatre fusils, dont deux fusils à pompe et un fusil d'assaut. Compte tenu du nombre d'armes à feu, et de la présence, parmi ces dernières, de fusils automatiques, soit d'armes particulièrement dangereuses, le Tribunal considère que le devoir de vigilance exigible du prévenu était particulièrement élevé. Or, l'on ne saurait considérer que le fait de stocker de telles armes sur un bateau, fut-ce dans un contenant en métal fermé à clé, respecte de telles exigences. En premier lieu, il est retenu que faute d'être entièrement fermé, un port, même privé, n'offre pas les mêmes garanties de sécurité qu'un logement ou un entrepôt. En particulier, il demeure librement accessible, par tout un chacun, par voie maritime. En outre, le port dont il est ici question se trouve à peine à quelques mètres d'un lieu particulièrement fréquenté de la Ville de Genève, et prisé des promeneurs. Par ailleurs, une fois à l'intérieur du port, seule une bâche en plastique, qui plus est en partie transparente, empêchait l'accès au bateau du prévenu. Contrairement à une porte solide munie d'un verrou, une telle protection, que l'on imagine aisément franchissable avec n'importe quel objet tranchant, voire à mains nues, n'apparaît pas suffisante pour conserver, à l'abri des tiers, de multiples armes à feu. On ajoutera qu'il ne ressort pas du dossier que le coffre dans lequel se trouvaient les armes était muni d'une serrure et d'un verrou offrant un degré particulier de sécurité contrairement, par exemple, à un coffre- fort scellé dans un mur. Enfin, l'éventuelle présence, sur le bateau, d'un système de surveillance avec alarme, non connectée au contenant lui-même, apparaît plus de nature à permettre la constatation d'un vol à posteriori qu'à prévenir ce dernier. Pour l'ensemble de ces raisons, le Tribunal retient que les armes saisies sur le bateau du prévenu n'étaient pas conservées avec suffisamment de prudence et que les moyens mis en œuvre par X______ ne les rendaient pas suffisamment inaccessibles à des tiers non autorisés. Le prévenu n'a pu agir qu'avec conscience et volonté, étant rappelé qu'il venait d'être condamné pour des faits similaires et avait obtenu la restitution de ses armes en garantissant qu'il entreposerait, à l'avenir, ces dernières dans un coffre loué auprès d'un stand de tir, promesse qu'il n'a sciemment pas respectée.</w:t>
      </w:r>
    </w:p>
    <w:p>
      <w:r>
        <w:t>- 12 -</w:t>
      </w:r>
    </w:p>
    <w:p>
      <w:r>
        <w:t>P/1232/2020</w:t>
      </w:r>
    </w:p>
    <w:p>
      <w:r>
        <w:t>Le prévenu sera par conséquent reconnu coupable d'infraction à l'art. 34 al. 1 let. e LArm, en relation avec l'art. 26 al. 1 de cette même loi. 3.1. L'infraction à l'art. 34 al. 1 let. e LArm est punie de l'amende. Selon l'art. 106 CP, sauf disposition contraire de la loi, le montant maximum de l'amende est de CHF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paiement ultérieur de l'amende entraîne une réduction proportionnelle de la peine privative de liberté de substitution (al. 4). 3.2. En l'espèce, le prévenu sera condamné à une amende, dont le montant tiendra compte de la faute commise et de sa situation personnelle et financière. Ainsi, le Tribunal prononcera une amende de CHF 500.- à l'encontre de X______. La peine privative de liberté de substitution sera arrêtée à 5 jours. 4.1.1.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A cet égard, on ne saurait toutefois émettre des exigences élevées; il suffit qu'il soit vraisemblable qu'il y ait un danger si l'objet n'est pas confisqué en mains de l'ayant droit (ATF 125 IV 185 consid. 2a p. 187; arrêt 6B_1277/2018 du 21 février 2019 consid. 3.3). De plus, la confiscation d'objets dangereux, en tant qu'elle atteint à la propriété garantie par l'art. 26 Cst., exige le respect du principe de la proportionnalité dans ses deux composantes de l'adéquation au but et de la subsidiarité (cf. arrêts 6B_35/2017 du 26 février 2018 consid. 9.1 et 6B_279/2011 du 20 juin 2011 consid. 4.1). Une arme peut déjà être confisquée sur la base de l'art. 69 al. 1 CP lorsqu'elle a servi à la commission d'une infraction à la LArm (ATF 129 IV 81 consid. 4.2 p. 94 ; arrêts du Tribunal fédéral 1B_16/2020 précité consid. 3.3 ; 6S_253/2005 du 25 novembre 2006</w:t>
      </w:r>
    </w:p>
    <w:p>
      <w:r>
        <w:t>- 13 -</w:t>
      </w:r>
    </w:p>
    <w:p>
      <w:r>
        <w:t>P/1232/2020</w:t>
      </w:r>
    </w:p>
    <w:p>
      <w:r>
        <w:t>consid. 2.4 ; arrêt de l'Anklagekammer du canton de Saint-Gall du 13 août 2014, publié in GVP 2014 n° 73, p. 257 ss, consid. 4 et 5.1 ; J.-B. ACKERMANN (éd.), op. cit., n. 183 et 361 s. ad art. 69 ; P. WEISSENBERGER, Die Strafbestimmungen des Waffengesetzes, PJA 2000 153 ss, p. 164 ; contra : E. JEANNERAT, note relative à l'arrêt du Tribunal fédéral du 30.4.2009 [= ATF 135 I 209], RDAF 2010 I 333 ss, p. 335). 4.1.2. 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4.2. S'agissant du sort des armes séquestrées, il est relevé ce qui suit: Eu égard à l'ordonnance pénale du 26 novembre 2018, le Tribunal relève d'abord que l'on pourrait soutenir que les armes en question font d'ores et déjà l'objet d'une décision de confiscation, en force et exécutoire, de sorte que le Tribunal ne serait pas autorisé à revoir cette question. Cela étant, dans la mesure où les armes saisies dans la présente affaire ne correspondent pas, en tout ou en partie, à celles qui ont été confisquées par l'ordonnance pénale précitée, la question doit se poser en tout état de cause. A cet égard, il est relevé qu'il existe en l'espèce un lien de connexité immédiate entre les armes séquestrées et l'infraction commise, puisque cette dernière porte précisément sur la mauvaise conservation des premières, infraction commise pour la seconde fois en quelques mois seulement. Dans cette mesure, ces armes constituent bien un instrument de l'infraction commise. Par ailleurs, le prévenu persiste à ne pas conserver de manière adéquate ses armes à feu, au mépris des messages, pourtant clairs, qui lui ont été adressés par l'autorité. Alors qu'il avait offert des garanties laissant penser qu'il s'était amendé, visiblement uniquement dans le but de récupérer indûment ses armes, le prévenu a réitéré, sans délai, le même comportement punissable. Il y a ainsi lieu de retenir que, par son mauvais usage, le prévenu rend lesdites armes dangereuses pour la sécurité des tiers et pour l'ordre public. En outre, il ne ressort de l'attitude du prévenu en cours de procédure aucun indice laissant penser qu'il envisagerait désormais de conserver ses armes à feu de manière différente, de sorte qu'il est à tout le moins vraisemblable qu'il compromette, à l'avenir, à nouveau la sécurité publique. En conséquence, le Tribunal considère que les armes provenant du bateau du prévenu doivent être confisquées.</w:t>
      </w:r>
    </w:p>
    <w:p>
      <w:r>
        <w:t>- 14 -</w:t>
      </w:r>
    </w:p>
    <w:p>
      <w:r>
        <w:t>P/1232/2020</w:t>
      </w:r>
    </w:p>
    <w:p>
      <w:r>
        <w:t>Les autres armes séquestrées, soit celles figurant à l'inventaire du 4 avril 2019, seront néanmoins restituées au prévenu, dans la mesure où il n'est pas établi par la procédure qu'elles étaient également entreposées sur le bateau du prévenu.</w:t>
      </w:r>
    </w:p>
    <w:p>
      <w:r>
        <w:rPr>
          <w:b/>
        </w:rPr>
        <w:t>E. 5</w:t>
      </w:r>
    </w:p>
    <w:p>
      <w:r>
        <w:t>Les conclusions en indemnisation du prévenu seront rejetées, compte tenu du verdict de culpabilité (art. 429 CPP).</w:t>
      </w:r>
    </w:p>
    <w:p>
      <w:r>
        <w:rPr>
          <w:b/>
        </w:rPr>
        <w:t>E. 6</w:t>
      </w:r>
    </w:p>
    <w:p>
      <w:r>
        <w:t>Vu l'issue de la procédure, le prévenu sera condamné aux frais de la procédure, lesquels seront arrêtés à CHF 573.-, y compris un émolument de jugement de CHF 300.-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