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JTDP/319/2022 vom 22. März 2022</w:t>
      </w:r>
    </w:p>
    <w:p>
      <w:r>
        <w:t>GE Cour de justice, 2022-03-22, FR</w:t>
      </w:r>
    </w:p>
    <w:p>
      <w:r>
        <w:rPr>
          <w:b/>
        </w:rPr>
        <w:t xml:space="preserve">Quelle: </w:t>
      </w:r>
      <w:r>
        <w:t>https://mcp.opencaselaw.ch/entscheid/ge_gerichte_JTDP_319_2022</w:t>
      </w:r>
    </w:p>
    <w:p>
      <w:r>
        <w:t>FR: GE_GERICHTE JTDP/319/2022 du 22 mars 2022</w:t>
      </w:r>
    </w:p>
    <w:p>
      <w:r>
        <w:t>IT: GE_GERICHTE JTDP/319/2022 del 22 marzo 2022</w:t>
      </w:r>
    </w:p>
    <w:p>
      <w:pPr>
        <w:pStyle w:val="Heading2"/>
      </w:pPr>
      <w:r>
        <w:t>Erwägungen</w:t>
      </w:r>
    </w:p>
    <w:p>
      <w:r>
        <w:rPr>
          <w:b/>
        </w:rPr>
        <w:t>E. 1</w:t>
      </w:r>
    </w:p>
    <w:p>
      <w:r>
        <w:t>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w:t>
      </w:r>
    </w:p>
    <w:p>
      <w:r>
        <w:t>- 9 - P/11651/2017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L'art. 9 al. 2 CPP réserve la procédure de l'ordonnance pénale, qui en cas de maintien de l'ordonnance pénale à la suite d'une opposition, a pour conséquence de la transformer en acte d'accusation (art. 356 al. 1 CPP). L'ordonnance pénale doit dès lors contenir tous les éléments, notamment factuels, requis pour un acte d'accusation afin de satisfaire aux exigences de la maxime d'accusation (art. 325 CPP) (Y. JEANNERET / A. KUHN, Précis de procédure pénale, Berne 2018, 2ème édition, n°4024, p. 58). L'acte d'accusation désigne le plus brièvement possible, mais avec précision, les actes reprochés au prévenu, le lieu, la date et l'heure de leur commission ainsi que leurs conséquences et le mode de procéder de l'auteur (art. 325 al. 1 let. f CPP).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 S'agissant de faux dans les titres, l'acte d'accusation doit indiquer clairement dans quelle mesure le prévenu a accompli les éléments constitutifs de l'art. 251 CP. Un acte d'accusation qui reproche au prévenu d'avoir réalisé une escroquerie à l'aide d'un faux titre ne donne pas le fondement réel pour une falsification de bilan (M. SCHUBARTH / N. GRAA, CR-CPP, éd. 2010, n°37 ad. art. 325).</w:t>
      </w:r>
    </w:p>
    <w:p>
      <w:r>
        <w:rPr>
          <w:b/>
        </w:rPr>
        <w:t>E. 2</w:t>
      </w:r>
    </w:p>
    <w:p>
      <w:r>
        <w:t>Le principe in dubio pro reo, qui découle de la présomption d'innocence garantie par l'art. 6 § 2 CEDH et, sur le plan interne, par l'art. 32 al. 1 Cst. et l'art. 10 CPP,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 p. 88, 120 Ia 31 consid. 2c p. 37). Cela étant, le juge du fond ne peut retenir un fait défavorable à l'accusé que s'il est</w:t>
      </w:r>
    </w:p>
    <w:p>
      <w:r>
        <w:t>- 10 - P/11651/2017 convaincu de la matérialité de ce fait, de sorte que le doute profite à l'accusé (ATF 120 Ia 31 consid. 2c p. 37).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3</w:t>
      </w:r>
    </w:p>
    <w:p>
      <w:r>
        <w:t>3.1.1. A teneur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3.1.2. Sont des titres tous les écrits destinés et propres à prouver un fait ayant une portée juridique (art. 110 al. 4 CP). 3.1.3. L'art. 251 ch. 1 CP vise non seulement la création d'un titre faux ou la falsification d'un titre (faux matériel), mais aussi l'établissement d'un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De jurisprudence constante, un formulaire A, dont le contenu est inexact quant à la personne de l'ayant-droit économique, constitue un faux dans les titres au sens de l'art. 251 CP (arrêt fédéral 6B_891/2018 du 31 octobre 2018 consid. 3.3.1; 6B_659/2014 du 22 décembre 2017 consid. 18.1.2 et 6S.293/2005 du 24 février 2006 consid. 8, publié in SJ 2006 I p. 306, AARP/126/2021 du 08.04.2021 consid. 3.4). Le faux dans les titres est une infraction de mise en danger abstraite. Il n'est donc pas nécessaire qu'une personne soit effectivement trompée. L'art. 251 CP protège la confiance particulière accordée dans les relations juridiques à un titre en tant</w:t>
      </w:r>
    </w:p>
    <w:p>
      <w:r>
        <w:t>- 11 - P/11651/2017 que moyen de preuve (arrêt du Tribunal fédéral 6B_421/2008 du 21 août 2009 consid. 5.3.1). La tromperie n'a pas besoin d'être astucieuse (arrêt du Tribunal fédéral 6B_455/2008 du 26 décembre 2008 consid. 2.2.1). 3.1.4. La loi sur le blanchiment d'argent (LBA; RS 955.0) impose à l'intermédiaire financier, notamment aux banques, une identification de l'ayant droit économique dans certaines circonstances, notamment en cas d'opérations de caisse portant sur une somme importante (cf. art. 4 LBA); à cet effet, elle prévoit que l'intermédiaire financier doit requérir du cocontractant une déclaration écrite dans laquelle celui- ci désigne l'ayant droit économique ou confirme être lui-même cet ayant droit (art.</w:t>
      </w:r>
    </w:p>
    <w:p>
      <w:r>
        <w:rPr>
          <w:b/>
        </w:rPr>
        <w:t>E. 3.1</w:t>
      </w:r>
    </w:p>
    <w:p>
      <w:r>
        <w:t>En application de l'art. 429 al. 1 let. a CPP, si le prévenu est acquitté totalement ou en partie ou s'il bénéficie d'une ordonnance de classement, il a droit à une indemnité pour les dépenses occasionnées par l'exercice raisonnable de ses droits de procédure. S'agissant de l'indemnité pour les frais de défense, celle-ci concerne les dépenses du prévenu pour un avocat de choix (ATF 138 IV 205, consid. 1), à condition que le recours à celui-ci procède d'un exercice raisonnable des droits de procédure. Pour fixer cette indemnité, l'autorité doit tenir compte de la nature et de</w:t>
      </w:r>
    </w:p>
    <w:p>
      <w:r>
        <w:t>- 17 - P/11651/2017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w:t>
      </w:r>
    </w:p>
    <w:p>
      <w:r>
        <w:rPr>
          <w:b/>
        </w:rPr>
        <w:t>E. 3.2</w:t>
      </w:r>
    </w:p>
    <w:p>
      <w:r>
        <w:t>Vu le verdict d'acquittement, une indemnité sera allouée au prévenu pour les dépenses occasionnées par l'exercice raisonnable de la procédure, laquelle sera revue à la baisse pour tenir compte exclusivement de l'activité du chef d'Etude, de sorte que les heures effectuées par l'avocat stagiaire, soit 14.5 heures et le collaborateur, soit 0.42 heures, ne seront pas prises en compte. Ainsi, une indemnité correspondant à 59.5 heures au tarif horaire de CHF 450.- sera octroyée au prévenu, indemnité justifiée compte tenu notamment de la durée de la procédure, du travail effectué et de la complexité de l'affaire. Par conséquent, l'Etat de Genève sera condamné à verser CHF 28'836.70, TVA comprise, au prévenu à titre d'indemnité pour les dépenses occasionnées par l'exercice raisonnable de ses droits de procédure.</w:t>
      </w:r>
    </w:p>
    <w:p>
      <w:r>
        <w:rPr>
          <w:b/>
        </w:rPr>
        <w:t>E. 4</w:t>
      </w:r>
    </w:p>
    <w:p>
      <w:r>
        <w:t>Les frais de la procédure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