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JTDP/209/2024 vom 15. Februar 2024</w:t>
      </w:r>
    </w:p>
    <w:p>
      <w:r>
        <w:t>GE Cour de justice, 2024-02-15, FR</w:t>
      </w:r>
    </w:p>
    <w:p>
      <w:r>
        <w:rPr>
          <w:b/>
        </w:rPr>
        <w:t xml:space="preserve">Quelle: </w:t>
      </w:r>
      <w:r>
        <w:t>https://mcp.opencaselaw.ch/entscheid/ge_gerichte_JTDP_209_2024</w:t>
      </w:r>
    </w:p>
    <w:p>
      <w:r>
        <w:t>FR: GE_GERICHTE JTDP/209/2024 du 15 février 2024</w:t>
      </w:r>
    </w:p>
    <w:p>
      <w:r>
        <w:t>IT: GE_GERICHTE JTDP/209/2024 del 15 febbraio 2024</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2.1.1.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w:t>
      </w:r>
    </w:p>
    <w:p>
      <w:r>
        <w:t>- 14 - P/4455/2021 préjudiciables à ses intérêts pécuniaires ou à ceux d'un tiers, est puni d'une peine privative de liberté de cinq ans au plus ou d'une peine pécuniaire (art. 146 al. 1 CP). 2.1.2. L'escroquerie consiste à tromper la dupe. Pour qu'il y ait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Enfin, pour que le crime d'escroquerie soit consommé, l'erreur dans laquelle la tromperie astucieuse a mis ou conforté la dupe doit avoir déterminé celle-ci à accomplir un acte préjudiciable à ses intérêts pécuniaires ou à ceux d'un tiers.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2.2.1.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(art. 251 ch. 1 CP). 2.2.2.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Sur le plan subjectif, le faux dans les titres est une infraction intentionnelle. L'intention doit porter sur tous les éléments constitutifs. Le dol éventuel suffit (ATF 141 IV 369 consid. 7.4). 2.2.3. Lorsque le faux dans les titres est un moyen de commettre ou de dissimuler une autre infraction et que la définition de celle-ci n'englobe pas déjà le faux, l'art. 251 CP doit être appliqué en concours (CORBOZ, Les infractions en droit suisse, Vol. II, n. 188- 189 ad art. 251 CP). Ainsi, il y a concours entre les art. 146 et 251 CP lorsque l'auteur utilise des titres falsifiés pour commettre une escroquerie (ATF 129 IV 53 in JdT 2006 IV 7 consid. 3).</w:t>
      </w:r>
    </w:p>
    <w:p>
      <w:r>
        <w:t>- 15 - P/4455/2021 2.2.4. Le Tribunal fédéral a récemment confirmé que "[…] compte tenu des particularités de la situation de l'époque et du mécanisme mis en place pour y faire face, dans le cadre des "crédits COVID-19", même de simples fausses informations constituent une tromperie astucieuse, indépendamment de l'existence éventuelle d'une relation de confiance entre le demandeur et la banque qui octroie le crédit " (arrêt du Tribunal fédéral 6B_271/2022 du 11 mars 2024, c. 5.1.4 et références citées). Les autorités pénales zurichoises ont en outre relevé qu'il est notoire que les crédits COVID- 19 ont été octroyés sur la seule base de la propre déclaration du requérant, sans examen des conditions ou de l'intention dans laquelle ils devaient être utilisés (décision du Bezirksgericht de Dietikon du 27 avril 2020 in forumpoenale 5/2022 n. 32 pp. 326-336). Les formulaires de demande de prêts COVID-19 revêtent une force probante accrue de par la loi, en l'occurrence l'OCaS-COVID-19, de telle sorte qu'une vérification par le destinataire n'était pas nécessaire et ne pouvait être exigée (AARP/249/2023 du 17 juillet 2023 consid. 2.4.1; AARP/62/2023 du 28 février 2023 consid. 2.4.2; AARP/135/2022 du 5 mai 2022 consid. 2.6). 2.3.1. D'après l'art. 138 ch. 1 al. 2 CP, quiconque, sans droit, emploie à son profit ou au profit d'un tiers des valeurs patrimoniales qui lui ont été confiées, est puni d'une peine privative de liberté de cinq ans au plus ou d'une peine pécuniaire. 2.3.2. Il y a abus de confiance, et non pas escroquerie, si une chose ou une valeur patrimoniale est confiée à l'auteur, sans tromperie de sa part, et qu'il se borne à dissimuler son intention de se les approprier (ATF 117 IV 429, JdT 1993 IV 173; 111 IV 130; arrêt du Tribunal fédéral 6B_42/2009 du 20 mars 2009 consid. 6.1; Commentaire romand du Code pénal II, 2017, n. 146 ad art. 146 CP). Lorsque l'escroquerie ne peut être retenue, l'auteur ne saurait toutefois être condamné automatiquement, en quelque sorte par "substitution", pour abus de confiance. Encore faut-il que les conditions propres à l'art. 138 CP soient remplies. Ainsi, dans l'hypothèse où une somme d'argent est remise à l'auteur sur la base d'une tromperie non astucieuse, l'art. 138 CP n'est pas (non plus) applicable si la somme en question n'était pas destinée à être utilisée par l'auteur dans un but déterminé, assorti de l'obligation d'en conserver constamment la contre-valeur, mais uniquement pour rémunérer une prestation contractuelle promise (fallacieusement) par l'auteur (CR CP-II, op. cit., n. 147 ad art. 146 CP). 2.3.3. Du point de vue subjectif, l'auteur doit agir intentionnellement, avec le dessein de se procurer ou de procurer à un tiers un enrichissement illégitime, qui peut être réalisé par dol éventuel (ATF 118 IV 32 consid. 2a). Le dessein d'enrichissement illégitime fait notamment défaut si, au moment de l'emploi illicite de la valeur patrimoniale ou de la chose mobilière, l'auteur en paie la contre-valeur (ATF 107 IV 166 consid. 2a), s'il avait, à tout moment ou, le cas échéant, à la date convenue à cet effet, la volonté et la possibilité de le faire ("Ersatzbereitschaft"; ATF 133 IV 21 consid.</w:t>
      </w:r>
    </w:p>
    <w:p>
      <w:r>
        <w:t>- 16 - P/4455/2021 6.1.2; arrêt du Tribunal fédéral 6B_67/2011 du 20 septembre 2011 consid. 3.1) ou encore s'il était en droit de compenser (ATF 105 IV 39 consid. 3; arrêt du Tribunal fédéral 6B_17/2009 du 16 mars 2009 consid. 2.2.1). 2.4.1. Conformément à l'art. 90 LCR, celui qui viole les règles de la circulation prévues par ladite loi ou par les dispositions d'exécution émanant du Conseil fédéral est puni de l'amende (al. 1). Celui qui, par une violation grave d'une règle de la circulation, créé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violé de façon grossière une règle fondamentale de la circulation et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arrêt du Tribunal fédéral 6B_108/2015 du 27 novembre 2015 consid.5). Subjectivement, l'état de fait de l'art. 90 al. 2 LCR exige, selon la jurisprudence, un comportement sans scrupules ou gravement contraire aux règles de la circulation, c'est- 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 arrêts du Tribunal fédéral 6B_1300/2016 du 5 décembre 2017 consid. 2.1.2 non publié in ATF 143 IV 500 ; 6B_444/2016 du 3 avril 2017 consid. 1.1). L'art. 26 al. 1 LCR expose la règle fondamentale selon laquelle chacun doit se comporter, dans la circulation, de manière à ne pas gêner ni mettre en danger ceux qui utilisent la route conformément aux règles établies. A teneur de l'art. 31 al. 1 LCR, le conducteur devra rester constamment maître de son véhicule de façon à pouvoir se conformer aux devoirs de la prudence.</w:t>
      </w:r>
    </w:p>
    <w:p>
      <w:r>
        <w:t>- 17 - P/4455/2021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A teneur de l'art. 31 al. 1 LCR, le conducteur devra rester constamment maître de son véhicule de façon à pouvoir se conformer aux devoirs de la prudence. L'art. 3 al. 1 de l'ordonnance sur les règles de la circulation routière du 13 novembre 1962 (RS 741.11;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arrêt du Tribunal fédéral 6B_665/2015 du 15 septembre 2016 consid. 2.2). 2.4.2. L'art. 32 al. 1 LCR dispose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2.4.3. Selon l'art. 33 al. 1 LCR, le conducteur facilitera aux piétons la traversée de la chaussée. Avant les passages pour piétons, le conducteur circulera avec une prudence particulière et, au besoin, s'arrêtera pour laisser la priorité aux piétons qui se trouvent déjà sur le passage ou s'y engagent (al. 2). Les règles prescrites à l'art. 33 al. 2 et 3 LCR constituent en principe des règles fondamentales de la circulation dont la violation tombe généralement sous le coup de l'art. 90 al. 2 LCR (BUSSY/RUSCONI/JEANNERET/KUHN/MIZEL/MÜLLER, Code suisse de la circulation routière commenté, 4e éd., n. 4.1 ad art. 26 LCR). A teneur de l'art. 6 OCR,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(al. 1). Il réduira à temps sa vitesse et s'arrêtera, au besoin, afin de pouvoir satisfaire à cette obligation (al. 2). Les piétons traverseront la chaussée avec prudence et par le plus court chemin en empruntant, où cela est possible, un passage pour piétons. Ils bénéficient de la priorité sur de tels passages, mais ne doivent pas s'y lancer à l'improviste (art. 49 al. 2 LCR).</w:t>
      </w:r>
    </w:p>
    <w:p>
      <w:r>
        <w:t>- 18 - P/4455/2021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 Selon la jurisprudence, "la prudence particulière" que doit adopter le conducteur selon l'art. 33 al. 2 LCR signifie qu'il doit porter une attention accrue aux passages pour piétons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Un conducteur viole les règles de la circulation lorsque sa vitesse, quoique réduite à 10 km/h au moment de dépasser un autobus à l'arrêt puis d'approcher un passage pour piétons, se révèle encore trop élevée parce qu'un enfant, en faisant irruption devant l'engin à l'arrêt, vient heurter le flanc droit du véhicule en marche (arrêt du Tribunal fédéral 6B_108/2015 du 27 novembre 2015 consid. 3 et les références citées ; arrêt du Tribunal fédéral 6S.96/2006 consid. 2.2 et les références citées). D'une manière générale, le degré d'attention exigé du conducteur s'apprécie au regard de toutes les circonstances, telles que la densité du trafic, la configuration des lieux, l'heure, la visibilité et les sources de danger prévisibles.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Il est en effet admis que le devoir de prudence du conducteur ne disparaît pas à l'égard d'un piéton qui s'élance sur un passage pour piétons de manière contraire aux règles (arrêt du Tribunal fédéral 6B_343/2019 du 11 avril 2019 et les références citées). 2.5.1. En l'espèce, il convient d'abord d'examiner les faits relatifs au prêt COVID-19. A cet égard, et tel que cela ressort de l'appréciation des faits (supra. D.a.), il n'est pas établi que le prévenu a intentionnellement indiqué un faux chiffre d'affaires dans le formulaire standardisé de demande de crédit, de sorte qu'il n'a pas commis de faux dans les titres. Il n'est en outre pas établi que le prévenu avait l'intention de tromper la banque sur son chiffre d'affaires, et, corollairement, qu'il aurait trompé cette dernière sur ce point en mentionnant le chiffre d'affaires relatif à l'année 2018.</w:t>
      </w:r>
    </w:p>
    <w:p>
      <w:r>
        <w:t>- 19 - P/4455/2021 Ainsi, en application du principe in dubio pro reo, le prévenu sera acquitté de faux dans les titres (art. 251 ch. 1 CP) et d'escroquerie (art. 146 CP). 2.5.2. A défaut d'avoir obtenu le prêt par le biais d'une tromperie astucieuse, les faits doivent être examinés sous l'angle de l'abus de confiance. A titre liminaire, les particularités de la gestion du patrimoine d'une raison individuelle sont sans pertinence sur l'examen des condition objective de l'infraction. En effet si, le prévenu peut, de façon générale, utiliser comme il l'entend son patrimoine, il était tenu, dans le cadre du prêt COVID-19, à des obligations strictes. Ainsi les CHF 35'000.- prêtés devaient être utilisés conformément à la convention conclue entre le prévenu et la banque, c’est-à-dire pour les besoins courants de son entreprise. S'agissant de l'utilisation des fonds obtenus sur la base du crédit COVID-19, il est établi (supra D.b.a.) que le prévenu n'a, objectivement, pas entièrement affecté le crédit, confié par la banque, à l'usage pour lequel il était prévu, soit exclusivement les frais de fonctionnement courant de son entreprise. En effet, en utilisant une partie du montant du prêt à son profit, cas échant à celui d'un ami lui ayant octroyé un prêt, le prévenu a profité du rapport de confiance avec l'E______ et du soutien offert par la Confédération dans le cadre de la pandémie de COVID. Du point de vue subjectif, et au vu de l'appréciation des faits (supra D.b.b.), il est établi que le prévenu a agi dans le but de se procurer un enrichissement illégitime et a causé corrélativement un dommage correspondant à l'E______, puis au A______. Le Tribunal souligne que même dans l'hypothèse où le prévenu avait payé une dette liée à son entreprise, ce qui n'est pas établi, il se serait de ce fait enrichi, en diminuant ses dettes. Quant au dessein d'enrichissement, à savoir si le prévenu pouvait et voulait, en tout temps, rembourser le prêt, il ressort de l'appréciation des faits effectuée par le Tribunal (supra D.b.b.) que tel n'était pas le cas. Ainsi, au vu de ce qui précède, le prévenu sera reconnu coupable d'abus de confiance au sens de l'art. 138 ch. 1 al. 2 CP s'agissant de l'utilisation des fonds octroyés à son entreprise. 2.6.1. Comme retenu par le Tribunal (supra D.c.) le 16 février 2022, le prévenu ne s'est pas arrêté à l'approche du passage-piéton sis à l'intersection des rues Lect et Cardinal- Journet afin de vérifier si un piéton s'y était engagé, alors qu'il devait faire preuve d'une attention particulière, à défaut de visibilité en raison d'un angle mort. Le prévenu a donc commis une violation grave des règles de la LCR dont il sera reconnu coupable. Peine 3.1.1. Selon l'art. 47 CP, le juge fixe la peine d'après la culpabilité de l'auteur. Il prend en considération les antécédents et la situation personnelle de ce dernier ainsi que l'effet</w:t>
      </w:r>
    </w:p>
    <w:p>
      <w:r>
        <w:t>- 20 - P/4455/2021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 peine pécuniaire est de 3 jours-amende au moins et de 180 jours-amende au plus. Le juge fixe leur nombre en fonction de la culpabilité de l'auteur (art. 34 al. 1 CP). En règle générale, le montant du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3.1.3. La durée de la peine privative de liberté est de trois jours au moins et de vingt ans au plus (art. 40 CP). 3.1.4.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3.1.5. Le sursis est accordé en application de l'art. 42 CP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3.2. La faute du prévenu n'est pas anodine. Il a profité du prêt COVID et en a utilisé une partie contrairement à sa destination. Le prévenu a toutefois affecté une partie des fonds reçus de la Confédération aux besoins courants de l'entreprise, le montant du dommage lié à l'infraction est de l'ordre de CHF 28'000.- et la période pénale est brève.</w:t>
      </w:r>
    </w:p>
    <w:p>
      <w:r>
        <w:t>- 21 - P/4455/2021 Quant à la violation de la loi sur la circulation routière, il s'agissait certes d'une violation grave mais commise par négligence. Le comportement du prévenu lors de l'accident a en outre été exemplaire et heureusement, le piéton n'a été que légèrement blessé. La collaboration du prévenu a la procédure a été plutôt bonne, sa prise de conscience pour l'infraction à la circulation routière est très bonne, mais inexistante pour le prêt COVID-19. Sa situation personnelle n'excuse pas ni n'explique les faits. Il a un antécédent d'infraction à la LEI certes lié à son activité professionnelle, mais qui ne fonde pas un pronostic défavorable de sorte que le sursis lui est acquis. Il y a concours d'infraction, ce qui constitue un facteur d'aggravation de la peine. Au vu de ce qui précède, le prévenu sera condamné à une peine pécuniaire de 150 jours- amende. Compte tenu de sa situation personnelle, le montant du jour-amende sera fixé à CHF 40.-. Il sera mis au bénéfice du sursis, dont il remplit les conditions. Conclusions civiles 4.1.1.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4.1.2. Chacun est tenu de réparer le dommage qu'il cause à autrui d'une manière illicite, soit intentionnellement, soit par négligence ou imprudence (art. 41 al. 1 CO). La preuve du dommage incombe au demandeur (art. 42 al. 1 CO). 4.2. En l'espèce, le A______ a été subrogé dans les droits de l'E______, lésée par les infractions commises. Dans cette mesure, il subit le dommage causé par les agissements illicites du prévenu. Ces montants portent intérêts au jour de la survenance du dommage, soit au 14 juin 2022, date de remboursement du prêt par A______ à l'E______. Il convient de déduire les acomptes versés par le prévenu. Le prévenu sera ainsi condamné à payer au A______ la somme de CHF 21'000.- portant intérêts à 5% dès le 14 juin 2022.</w:t>
      </w:r>
    </w:p>
    <w:p>
      <w:r>
        <w:t>- 22 - P/4455/2021 Frais et indemnités 5.1. A teneur de l'art. 423 al. 1 CPP, les frais de procédure sont mis à la charge de la Confédération ou du canton qui a conduit la procédure, les dispositions contraires du CPP étant réservées. Le prévenu supporte les frais de procédure s'il est condamné (art. 426 al. 1, 1ère phrase CPP). A teneur de l'art. 9 al. 2 du Règlement fixant le tarif des frais en matière pénale du 22 décembre 2010 [RTFMP; RS GE E 4.10.03], dans les cas prévus par l'art. 82 al. 1 CPP, lorsque la motivation écrite du jugement est rendue nécessaire, l'émolument de jugement fixé est en principe triplé pour la ou les parties privées devant supporter les frais et qui demandent la motivation ou font recours; le dispositif du jugement notifié oralement réserve cet émolument complémentaire, qui peut être perçu séparément. 5.2. En l'espèce, vu l'acquittement partiel, les frais de la procédure seront mis à la charge du prévenu à raison de 80%, soit CHF 998.40. Un émolument complémentaire de jugement de CHF 1'000.- sera ajouté. Le solde sera laissé à la charge de l'Etat. 6.1. À teneur de l'art. 429 let. a CPP, si le prévenu est acquitté totalement ou en partie ou s'il bénéficie d'une ordonnance de classement, il a droit à une indemnité pour les dépenses occasionnées par l'exercice raisonnable de ses droits de procédure. 6.2. Vu l'acquittement partiel du prévenu, en particulier s'agissant du chef d'infraction d'escroquerie et de faux dans les titres, il se justifie de l'indemniser partiellement pour ses frais d'avocat strictement liés à l'examen de ces deux infractions s'agissant du formulaire standardisé de crédit. Les honoraires y relatifs seront fixés à CHF 1'510.20 (TTC), correspondant à 1 heure d'entretien avec le client, 1 heure d'examen du dossier, 30 minutes de préparation à l'audience de jugement, et 1 heure d'audience, soit 3h30 heures au tarif de 400.-. 7.1. L'art. 433 al. 1 let. a CPP permet à la partie plaignante de demander au prévenu une juste indemnité pour les dépenses obligatoires occasionnées par la procédure lorsqu'elle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w:t>
      </w:r>
    </w:p>
    <w:p>
      <w:r>
        <w:t>- 23 - P/4455/2021 7.2. En l'espèce, le prévenu sera condamné à verser la somme de CHF 2'650.- au A______ au titre de juste indemnité pour les dépenses obligatoires occasionnées par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