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JTDP/182/2025 vom 17. Februar 2025</w:t>
      </w:r>
    </w:p>
    <w:p>
      <w:r>
        <w:t>GE Cour de justice, 2025-02-17, FR</w:t>
      </w:r>
    </w:p>
    <w:p>
      <w:r>
        <w:rPr>
          <w:b/>
        </w:rPr>
        <w:t xml:space="preserve">Quelle: </w:t>
      </w:r>
      <w:r>
        <w:t>https://mcp.opencaselaw.ch/entscheid/ge_gerichte_JTDP_182_2025</w:t>
      </w:r>
    </w:p>
    <w:p>
      <w:r>
        <w:t>FR: GE_GERICHTE JTDP/182/2025 du 17 février 2025</w:t>
      </w:r>
    </w:p>
    <w:p>
      <w:r>
        <w:t>IT: GE_GERICHTE JTDP/182/2025 del 17 febbraio 2025</w:t>
      </w:r>
    </w:p>
    <w:p>
      <w:pPr>
        <w:pStyle w:val="Heading2"/>
      </w:pPr>
      <w:r>
        <w:t>Erwägungen</w:t>
      </w:r>
    </w:p>
    <w:p>
      <w:r>
        <w:rPr>
          <w:b/>
        </w:rPr>
        <w:t>E. 1</w:t>
      </w:r>
    </w:p>
    <w:p>
      <w:r>
        <w:t>et 3 CP). 2.2.4. S'agissant de l'infraction de gestion fautive, le Tribunal relève, que l'exactitude des bilans des années 2018 et 2019 d'A______ Sàrl n'est pas avérée, dès lors qu'on ignore qui les a établis, H______ ayant notamment déclaré ne pas en être l'auteur, étant au demeurant précisé qu'aucun surendettement ne ressort du bilan pour l'année 2018. Le Tribunal peine à justifier certains chiffres, en particulier la différence s'agissant des dettes envers les tiers estimées CHF 392'174.11 (au lieu de CHF 0.- en 2018), les travaux en cours à CHF -65'000.- (au lieu de CHF 65'000.- en 2018) et les produits à recevoir à CHF -175'813.69 (au lieu de CHF 175'813.69 en 2018). En outre, le chiffre d'affaire a augmenté, passant de CHF 1'420'364.- en 2018 à CHF 1'604'822.29 en 2019. Au vu notamment de ces éléments au dossier, ainsi que des bilans susmentionnés, le Tribunal ne peut pas tenir pour établi que la prévenue aurait causé ou aggravé un quelconque surendettement de la société. Faute d'éléments au dossier propres à démontrer un surendettement durant la période pénale concernée, la prévenue sera acquittée du chef de gestion fautive (art. 165 CP). 2.2.5. S'agissant de l'infraction de faux dans les titres, les faits sont établis, pour les motifs décrits supra sous chiffre 2.2.1., étant précisé que les factures transmises à H______ destinées à être intégrées dans la comptabilité de l'entreprise sont des titres. En outre, la prévenue ne convainc pas, lorsqu'elle affirme qu'une des factures d'U______ SA a été confectionnée par un employé de la société précitée, dès lors qu'elle admet avoir préparé les autres factures et qu'aucun élément à la procédure ne permet de soutenir sa version des faits. La prévenue a agi intentionnellement, dans le dessein de procurer à elle-même et/ou à sa famille un avantage illicite. Elle sera ainsi reconnue coupable de faux dans les titres (art. 251 ch. 1 CP), s'agissant des factures K______ SA, L______ SA, M______ SA, N______ SA, O______ SA, P______, Q______, R______, S______, T______, U______ SA et V______ SA. S'agissant des factures de W______, pour les mêmes motifs que ceux mentionnés précédemment sous chiffre 2.2.1., la prévenue sera acquittée de faux dans les titres. En ce qui concerne les faits retenus au point 1.1.1.C. de l'acte d'accusation, le Tribunal considère qu'il n'est pas établi que la prévenue a imité la signature de C______ sur les deux contrats d'abonnements téléphoniques AL_____, ceux-ci ne pouvant, au demeurant, pas être considérés comme des titres. Elle sera donc acquittée de faux dans les titres en lien avec ces contrats. 3.1.1. Au sens de l'art. 147 al. 1 aCP,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w:t>
      </w:r>
    </w:p>
    <w:p>
      <w:r>
        <w:t>- 36 -</w:t>
      </w:r>
    </w:p>
    <w:p>
      <w:r>
        <w:t>P/16930/2019</w:t>
      </w:r>
    </w:p>
    <w:p>
      <w:r>
        <w:t>d’autrui ou l’aura dissimulé aussitôt après sera puni d’une peine privative de liberté de cinq ans au plus ou d’une peine pécuniaire. 3.1.2. D'un point de vue objectif, il est nécessaire qu'un ordinateur effectue un transfert d'actifs au bénéfice d'un tiers, semblable à un paiement en espèces, grâce à un crédit sur compte ou à un débit "inévitable" d'un compte, mais qui n'a pas eu lieu. Le transfert d'actif doit créer un dommage, tout comme dans le cas de l'escroquerie (ATF 129 IV 315, JdT 2005 I 9 consid. 2.1). La loi vise l'utilisation non autorisée de données qui font croire que l'auteur, sans y être légitimé, effectue une manipulation en soi correcte des données et induit le processus normal de traitement de données. En particulier, celui qui utilise une carte de crédit ou de retrait volée, par exemple pour retirer de l'argent à l'automate, commet une utilisation indue des données (ATF 129 IV 315, JdT 2005 I 9 consid. 2.2.1; CR-CP II, n°11 et 12 ad art. 147). Le fait de s'approprier une carte de crédit ou de débit et de l'utiliser ensuite frauduleusement réalise, en concours réel, les infractions de vol et d'utilisation frauduleuse d'un ordinateur (Petit commentaire du code pénal, op. cit., n° 30 ad art. 147 et les références citées). Il s'agit d'une infraction de nature intentionnelle, le dol éventuel étant suffisant. Il est nécessaire que l'auteur ait agi sans droit et qu'il ait su qu'il agissait sans droit (arrêt du Tribunal fédéral 6B_61/2015 du 14 mars 2016 consid. 5.1). L'infraction requiert un dessein d'enrichissement illégitime, à savoir que l'auteur a pour but de tirer lui-même un profit de la chose, qui devrait normalement revenir au propriétaire ou au possesseur légitime (CR CP-II-GRODECKI, n° 18 et 19 ad art. 147). Lorsque le titulaire d'un compte remet à une tierce personne une carte bancaire avec son numéro d'identification personnel, et que celle-ci viole les instructions du titulaire du compte dans la mesure où elle prélève de l'argent à ses propres fins, il y a abus de confiance au sens de l'art. 138 CP et non utilisation frauduleuse d'un ordinateur. La situation est toutefois différente si la personne s'approprie la carte bancaire et l′utilise ensuite frauduleusement. Dans ces conditions, l'auteur commet, en concours réel, un vol au sens de l′art. 139 CP, portant sur la carte elle-même et une utilisation frauduleuse d′un ordinateur portant sur les valeurs obtenues (DUPUIS et al., op. cit., n° 1 ss et 29-30 ad art. 147). 3.2. En l'espèce, s'agissant des faits retenus au point 1.1.2. de l'acte d'accusation, la prévenue a contesté, de manière constante, avoir rempli le formulaire de commande d'une carte bancaire sur le compte privé de son époux auprès de la banque I______. Plus spécifiquement, elle a démenti avoir rempli le formulaire "______" daté du 23 juillet 2010 et imité la signature de C______. A ce sujet, il est permis de douter que ce formulaire ait permis à la prévenue de se faire livrer la carte bancaire AM_____ portant le n° 4______, dès lors que la durée de validité de telles cartes bancaires est limitée et que l'expiration intervient généralement deux et trois ans plus tard.</w:t>
      </w:r>
    </w:p>
    <w:p>
      <w:r>
        <w:t>- 37 -</w:t>
      </w:r>
    </w:p>
    <w:p>
      <w:r>
        <w:t>P/16930/2019</w:t>
      </w:r>
    </w:p>
    <w:p>
      <w:r>
        <w:t>Il parait également surprenant que la prévenue ait attendu près de huit ans avant de s'en servir de manière indue. Le Tribunal retiendra donc que la prévenue, conformément à ses déclarations constantes, s'est emparée de la carte bancaire AM_____ n° 4______, alors que ladite carte se trouvait au domicile familial, dans le but de l'utiliser à l'insu de son époux. Cette version est compatible avec le principe d'accusation (art. 9 CP), vu que l'acte d'accusation mentionne que la prévenue a été en mesure de subtiliser une carte bancaire à son époux avant que ce dernier ne mette la main dessus. Il est cependant établi et, au demeurant, admis par la prévenue, que cette dernière a utilisé cette ladite carte bancaire à plusieurs reprises, entre le 12 janvier 2018 et le 23 mai 2019, pour effectuer des retraits en espèces, sans que son époux ne le sache et ne s'en rende compte, soit sans que ce dernier ne lui en ait donné l'autorisation. En se servant de ladite carte bancaire pour faire des paiements ou retirer des espèces, au moyen du code PIN qu'elle connaissait, la prévenue a causé un préjudice économique à son époux, s'agissant de l'argent appartenant à C______. En ce qui concerne les montants préalablement crédités indûment sur le compte bancaire de son époux aux dépens d'A______ Sàrl, l'utilisation de la carte pour payer ou retirer des espèces au moyen desdits montants n'a pas créé de préjudice à C______. Par ailleurs, le Tribunal considère que, pour ces faits également, l'argument de l'état de nécessité licite ou excusable tombe à faux. Au vu de ce qui précède, la prévenue sera reconnue coupable d'utilisation frauduleuse d'un ordinateur pour la période allant du 12 janvier 2018 à juin 2019. Elle sera toutefois acquittée de cette infraction pour la période précédente, allant de 2012 au 11 janvier 2018.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4.1.2. Selon l'art. 40 CP, la durée de la peine privative de liberté va de trois jours à 20 ans.</w:t>
      </w:r>
    </w:p>
    <w:p>
      <w:r>
        <w:t>- 38 -</w:t>
      </w:r>
    </w:p>
    <w:p>
      <w:r>
        <w:t>P/16930/2019</w:t>
      </w:r>
    </w:p>
    <w:p>
      <w:r>
        <w:t>4.1.3. Conformément à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128 IV 193 consid. 3a; 118 IV 97 consid. 2b). 4.1.6. Si le juge suspend totalement ou partiellement l'exécution d'une peine, il impartit au condamné un délai d'épreuve de deux à cinq ans (art. 44 al. 1 CP). 4.1.7. Conformément à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les références citées). 4.1.8. Conformément à l'art. 51 CP, le juge impute sur la peine la détention avant jugement subie par l'auteur dans le cadre de l'affaire qui vient d'être jugée ou d'une autre procédure. 4.1.9. Les art. 5 CPP et 29 al. 1 Cst. garantissent notamment à toute personne le droit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(ATF 135 I 265 consid. 4.4). On ne saurait reprocher à l'autorité quelques temps morts, qui sont inévitables dans une procédure. Lorsqu'aucun d'eux n'est d'une durée vraiment choquante, c'est l'appréciation d'ensemble qui prévaut (ATF 130 IV 54 consid. 3.3.3; 130 I 312 consid. 5.2).</w:t>
      </w:r>
    </w:p>
    <w:p>
      <w:r>
        <w:t>- 39 -</w:t>
      </w:r>
    </w:p>
    <w:p>
      <w:r>
        <w:t>P/16930/2019</w:t>
      </w:r>
    </w:p>
    <w:p>
      <w:r>
        <w:t>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Le fait que certains actes auraient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(arrêt du Tribunal fédéral 6B_189/2017 du 7 décembre 2017 consid. 5.3.1 et les références citées). 4.2. En l'occurrence, la faute de la prévenue est importante. Elle a agi au préjudice de son époux et d'A______ Sàrl, avec un modus operandi bien rôdé. Elle s'en est pris au patrimoine d'autrui pour des montants conséquents, ainsi qu'à la confiance placée dans les titres. Son mobile est égoïste, mû par l'appât du gain rapide et facile. La période pénale s'étend sur plusieurs années, soit plus de sept ans. Sa situation personnelle, certes difficile, notamment au vu du contexte familial, ne peut expliquer ses agissements ni les justifier. La prévenue aurait pu et dû agir autrement. Sa responsabilité est pleine et entière. Sa collaboration est moyenne, même si elle a fini par admettre une partie des faits qui lui sont reprochés. Sa prise de conscience n'est qu'au mieux ébauchée, la prévenue continuant à se déclarer victime dans la présente procédure. Il y a concours d'infractions, ce qui constitue un facteur aggravant. La prévenue a un antécédent spécifique récent au casier judiciaire suisse. Il sera constaté une légère violation du principe de célérité, en raison des mois s'étant écoulés entre la notification de l'acte d'accusation et la tenue de l'audience de jugement. Seule une peine privative de liberté est susceptible de sanctionner le comportement de la prévenue, laquelle ne sera pas mis au bénéfice de l'art. 48a CP en l'absence de facteur d'atténuation de la peine.</w:t>
      </w:r>
    </w:p>
    <w:p>
      <w:r>
        <w:t>- 40 -</w:t>
      </w:r>
    </w:p>
    <w:p>
      <w:r>
        <w:t>P/16930/2019</w:t>
      </w:r>
    </w:p>
    <w:p>
      <w:r>
        <w:t>La peine de base, relative à l'infraction la plus grave, soit la gestion fautive, sera aggravée pour tenir compte des infractions de faux dans les titres et d'utilisation frauduleuse d'un ordinateur. Les faits de la présente cause étant antérieures aux faits faisant l'objet du jugement du 8 décembre 2021 de la Chambre d'appel et de recours de la Cour de justice, il n'y a pas lieu de se prononcer sur une éventuelle révocation du sursis (art. 46 al. 1 CP). Compte tenu de ce qui précède, la prévenue sera condamnée à une peine privative de liberté de 18 mois. Elle sera mise au bénéfice du sursis, dont les conditions d'octroi sont réalisées, et le délai d'épreuve sera fixé à trois ans. Conclusions civiles 5.1.1. Selon l'art. 122 al. 1 CPP, en qualité de partie plaignante, le lésé peut faire valoir des conclusions civiles déduites de l'infraction par adhésion à la procédure pénale. Le même droit appartient aux proches de la victime dans la mesure où ceux-ci font valoir contre le prévenu des conclusions civiles propres (art. 122 al. 2 CPP). En cas de faillite, cette société doit faire valoir ses droits, en lien avec l’action pénale, par l’intermédiaire de ses organes (ATF 145 IV 351 consid. 4.2 ; arrêts du Tribunal fédéral 6B_1082/2014 du 4 mars 2015 consid. 1.5 et 1B_191/2014 du 14 août 2014 consid. 3.1), et, s’agissant de l’action civile, via la masse en faillite (ATF 145 IV 351 consid. 4.2 et 4.3; arrêt du Tribunal fédéral 6B_1082/2014 du 4 mars 2015 consid. 1.5), laquelle succède ex lege au failli pour ce qui a trait aux biens de ce dernier (art. 197 et 204 LP), au sens de l’art. 121 al. 2 CPP (ATF 145 IV 351 consid. 4.2). 5.1.2. En vertu de l'art. 126 al. 1 let. a CPP, le tribunal statue sur les prétentions civiles présentées lorsqu'il rend un verdict de culpabilité à l'encontre du prévenu. 5.1.3. A teneur de l'article 41 al. 1 CO, chacun est tenu de réparer le dommage qu'il cause à autrui d'une manière illicite, soit intentionnellement, soit par négligence ou imprudence. 5.1.4. Lorsque le lésé présente ses prétentions civiles dans le cadre de la procédure pénale, les dispositions du droit civil s'appliquent, en particulier les art. 8 CC et 42 al. 1 CO s'agissant de la preuve du dommage qui incombe au demandeur, la reconnaissance de la qualité de partie plaignante dans une procédure ne l'exonérant pas de son obligation d'apporter la preuve de son dommage (arrêt 6B_586/2011 du 7 février 2012 consid. 7.2.2.). 5.1.5.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(CR CP-I-THÉVENOZ/WERRO, n. 19 ad art. 42 et n. 3 ad art. 104). En cas de dommage périodique, il se justifie, pour des raisons de praticabilité, d'admettre une échéance moyenne, dans la mesure où le montant du</w:t>
      </w:r>
    </w:p>
    <w:p>
      <w:r>
        <w:t>- 41 -</w:t>
      </w:r>
    </w:p>
    <w:p>
      <w:r>
        <w:t>P/16930/2019</w:t>
      </w:r>
    </w:p>
    <w:p>
      <w:r>
        <w:t>dommage reste constant, ou de fixer la date d'échéance sur la base du montant pondéré du dommage (ATF 131 III 12 consid. 9.5) 5.1.6. A teneur de l'art. 84 CO, le paiement d'une dette qui a pour objet une somme d'argent se fait en moyen de paiement ayant cours légal dans la monnaie due. Selon la jurisprudence relative à cette règle, le dispositif d'une décision par laquelle le juge reconnaît une prétention en argent ne peut être libellé que dans la monnaie effectivement due au créancier (ATF 134 III 151 consid. 2.4 et 2.5). Quant au créancier, il ne peut faire valoir sa prétention - contractuelle ou délictuelle - contractée en monnaie étrangère que dans cette monnaie, et le juge ne peut admettre la prétention que dans cette monnaie également (ATF 134 III 151 consid. 2.2 et 2.4; arrêt 4A_206/2010 du 15 décembre 2010 consid. 3.1 [publié à l'ATF 137 III 158] et 4.1.2 [rés. in SJ 2011 I 156]). L'art. 58 CPC s'oppose à ce que le juge alloue une prétention dans la monnaie étrangère effectivement due alors qu'il est saisi de conclusions libellées en francs suisses (arrêt 4A_391/2015 du 1er octobre 2015 consid. 3, in Praxis 2016 p. 115). 5.2.1. S'agissant de la réparation du dommage matériel sollicité par la masse en faillite A______ Sàrl, cette dernière a conclu à ce qu'E______ soit condamnée à lui verser CHF 222'013.93 (fausses factures), EUR 186'394.29 (fausses factures), CHF 30'941.10 (factures personnelles) ainsi que EUR 13'528.57 (factures personnelle) avec intérêts à 5% l'an dès le 1er janvier 2012, CHF 3'966.83 (factures téléphoniques AL_____) avec intérêts à 5% l'an dès le 1er novembre 2019, CHF 960'478.53 (correspondant aux créances admises à l'état de collocation d'A______ Sàrl) avec intérêts à 5% l'an dès le 1er janvier 2012. Vu la condamnation de la prévenue pour gestion déloyale aggravée, il sera fait droit aux conclusions civiles de la masse en faillite d'A______ Sàrl à hauteur des montant mentionnés ci-après. S'agissant des intérêts, il sera admis une échéance moyenne, étant précisé que l'apparition du dommage survient lorsqu'un paiement est transféré indument: - CHF 210'680.90 (fausses factures au nom de K______ SA [CHF 75'018.58], L______ SA [CHF 54'087.30], N______ SA [CHF 2'095.-], O______ SA [CHF 62'587.05], U______ SA [CHF 11'123.-], V______ SA [CHF 5'770.-]) avec intérêts moyens à 5% l'an dès le 1er septembre 2015; - EUR 186'394.30 (fausses factures au nom de M______ SA [EUR 17'976.49], P______ [EUR 107'731.-], Q______ [EUR 27'616.80], R______ [EUR 10'750.-], S______ [EUR 7'800.-] et T______ [EUR 14'520.-]) avec intérêts moyens à 5% l'an dès le 1er septembre 2015; - CHF 30'941.10 (facture privées pour les amendes d'ordre [CHF 520.-], le remboursement de la caisse à outils [CHF 5'500.-], et les sociétés AB_____ [CHF 10'335.20], AC_____ [CHF 4'247.-], AD_____ [CHF 4'409.15], AE_____ [CHF 3'446.30], AF_____ SA [CHF 2'483.45]) avec intérêts à 5% l'an dès le 1er octobre 2017 (les factures ayant été payées entre 2016 et juin 2019); - EUR 1'046.54 (factures privées au nom des restaurants AJ_____ [EUR 484.-], AK_____ [EUR 187.-] et de la quincaillerie de AI_____ [EUR 375.54]) avec intérêts</w:t>
      </w:r>
    </w:p>
    <w:p>
      <w:r>
        <w:t>- 42 -</w:t>
      </w:r>
    </w:p>
    <w:p>
      <w:r>
        <w:t>P/16930/2019</w:t>
      </w:r>
    </w:p>
    <w:p>
      <w:r>
        <w:t>à 5% l'an dès le 1er octobre 2017 (les factures ayant été payées entre 2016 et juin 2019); et - CHF 3'966.83 (factures AL_____ pour un montant total de CHF 4'666.83, ce à quoi il convient de soustraite la somme de CHF 700.-, octroyée à titre de rabais) avec intérêts moyens à 5% l'an dès le 14 février 2019 (total de 20 factures payées entre octobre 2018 et juillet 2019). La masse en faillite d'A______ Sàrl sera déboutée de ses conclusions civiles pour le surplus, la prévenue ayant été acquittée pour certaines factures, ainsi que du chef d'infraction de gestion fautive. Il sera fait droit aux conclusions civiles de C______ pour un montant de CHF 2'669.- correspondant au dommage qu'il a effectivement subi, étant précisé que celui-ci a conclu au paiement de cette somme avec intérêts à 5% l'an dès le 23 mai 2019. Créance compensatrice 6.1.1.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6.1.2. La restitution au sens de l'art. 70 al. 1 in fine CP offre au lésé un droit à la restitution directe des valeurs patrimoniales, sans confiscation ni dévolution à l’Etat, et sans avoir à recourir au mécanisme d’allocation prévu par l'art. 73 CP. Cette mesure a la priorité sur une éventuelle confiscation et l'attribution au lésé en réparation du dommage subi (ATF 145 IV 237 consid. 3.2, JdT 2019 IV 317). 6.1.3. La confiscation suppose (i) la réalisation des conditions objectives et subjectives d’une infraction, (ii) des valeurs patrimoniales, (iii) un rapport de connexité entre les valeurs patrimoniales et l’infraction et (iv) l’absence de cause d’exclusion (MAURON, La valeur patrimoniale sujette à confiscation ou à restitution en procédure pénale, p. 1636 in Pratique juridique actuelle, 2018). 6.1.4. Lorsque l'avantage illicite doit être confisqué, mais que les valeurs patrimoniales en résultant ne sont plus disponibles, parce qu'elles ont été consommées, dissimulées ou aliénées, le juge ordonne le remplacement par une créance compensatrice de l'Etat d'un montant équivalent; elle ne peut être prononcée contre un tiers que dans la mesure où les conditions prévues à l'art. 70 al. 2 CP ne sont pas réalisées (art. 71 al. 1 CP; arrêt du Tribunal fédéral 1B_365/2012 consid. 3.2, SJ 2013 I 13).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Le prononcé de la créance compensatrice n’exigera en revanche pas de lien de connexité entre les valeurs qui seront séquestrées à cette fin et l’infraction (ATF 140 IV</w:t>
      </w:r>
    </w:p>
    <w:p>
      <w:r>
        <w:t>- 43 -</w:t>
      </w:r>
    </w:p>
    <w:p>
      <w:r>
        <w:t>P/16930/2019</w:t>
      </w:r>
    </w:p>
    <w:p>
      <w:r>
        <w:t>57 consid. 4.1.2; arrêt du Tribunal fédéral 6B_67/2019 du 16 décembre 2020 consid. 6.2, SJ 2021 I 305). 6.1.5. A teneur de l'art. 71 al. 2 CP, le juge peut renoncer totalement ou partiellement à la créance compensatrice s’il est à prévoir qu’elle ne serait pas recouvrable ou qu’elle entraverait sérieusement la réinsertion de la personne concernée. Le juge doit procéder à une appréciation globale de la situation personnelle et financière de l’intéressé et respecter le principe de proportionnalité (ATF 122 IV 299 consid. 3b; SJ 2019 II 281, p. 296).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Par ailleurs, à l'instar du séquestre en couverture des frais, son étendue ne doit cependant pas violer manifestement le principe de proportionnalité, notamment sous l'angle du respect des conditions minimales d'existence (arrêt du Tribunal fédéral 1B_503/2020 du 18 décembre 2020 consid. 5.2 et les références citées). 6.2. En l'espèce, les valeurs patrimoniales dont s'est enrichie la prévenue ne sont plus disponibles. Dès lors, seule une créance compensatrice est envisageable. La question du montant de l'enrichissement de la prévenue peut rester ouverte, dès lors qu'en vertu du principe de proportionnalité, aucune créance compensatrice ne sera prononcée, notamment en raison de l'âge de la prévenue et de sa situation financière précaire, étant au demeurant précisé qu'il est à prévoir qu'une telle créance ne serait pas recouvrable. Il sera ainsi renoncé au prononcé d'une créance compensatrice à l'encontre de la prévenue. Frais et indemnités 7.1.1.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Si, en sus de sa participation à la procédure pénale, la partie plaignante intervient aussi pour obtenir la réparation du dommage corporel, matériel ou moral que lui a causé l'infraction, il faut en principe que ses conclusions civiles soient admises, au moins partiellement. En cas d'adjudication partielle des conclusions de la partie plaignante, les dépens des parties peuvent être compensés ou mis proportionnellement à la charge de chacune d'entre elles, en principe en identifiant séparément chaque acte de procédure et son incidence sur les frais exposés des parties (KUHN/JEANNERET, CR-CPP, Bâle 2011, n° 2 et 3 ad art. 433).</w:t>
      </w:r>
    </w:p>
    <w:p>
      <w:r>
        <w:t>- 44 -</w:t>
      </w:r>
    </w:p>
    <w:p>
      <w:r>
        <w:t>P/16930/2019</w:t>
      </w:r>
    </w:p>
    <w:p>
      <w:r>
        <w:t>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de la partie plaignante (ATF 139 IV 102 consid. 4.1 et 4.3). 7.1.2. Les honoraires d'avocat se calculent selon le tarif usuel du barreau applicable dans le canton où la procédure se déroule (arrêt du Tribunal fédéral 6B_392/2013 du</w:t>
      </w:r>
    </w:p>
    <w:p>
      <w:r>
        <w:rPr>
          <w:b/>
        </w:rPr>
        <w:t>E. 4</w:t>
      </w:r>
    </w:p>
    <w:p>
      <w:r>
        <w:t>novembre 2013 consid. 2.3.). Bien que le canton de Genève ne connaisse pas de tarif officiel des avocats, il n'en a pas moins posé, à l'art. 34 de la loi sur la profession d'avocat du 26 avril 2002 (LPAv;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 7.2. En l'occurrence, C______ a sollicité une indemnité à hauteur de CHF 29'567.29 pour l'activité déployée par son Conseil. L'activité déployée étant motivée et justifiée, la prévenue sera condamnée à lui verser un montant total de CHF 32'242.76, en tenant compte de la durée de l'audience de jugement. 8.1.1.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du fond (arrêt 6B_688/2014 du 22 décembre 2017 consid. 29.2). Vu l'issue de la procédure, la prévenue sera condamnée aux trois quarts des frais de la procédure, lesquels s'élèvent au total à CHF 1'735.-, dont un émolument de jugement de CHF 500.- (art. 426 al. 1 CPP).</w:t>
      </w:r>
    </w:p>
    <w:p>
      <w:r>
        <w:rPr>
          <w:b/>
        </w:rPr>
        <w:t>E. 9</w:t>
      </w:r>
    </w:p>
    <w:p>
      <w:r>
        <w:t>Le défenseur d'office de la prévenue recevra l'indemnité conformément à la motivation figurant en pied de jugement (art. 135 CPP).</w:t>
      </w:r>
    </w:p>
    <w:p>
      <w:r>
        <w:t>- 45 -</w:t>
      </w:r>
    </w:p>
    <w:p>
      <w:r>
        <w:t>P/16930/2019</w:t>
      </w:r>
    </w:p>
    <w:p>
      <w:r>
        <w:rPr>
          <w:b/>
        </w:rPr>
        <w:t>E. 10</w:t>
      </w:r>
    </w:p>
    <w:p>
      <w:r>
        <w:t>Le conseil juridique gratuit de la masse en faillite d'A______ Sàrl sera indemnisé (art.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