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JTDP/1542/2024 vom 19. Dezember 2024</w:t>
      </w:r>
    </w:p>
    <w:p>
      <w:r>
        <w:t>GE Cour de justice, 2024-12-19, FR</w:t>
      </w:r>
    </w:p>
    <w:p>
      <w:r>
        <w:rPr>
          <w:b/>
        </w:rPr>
        <w:t xml:space="preserve">Quelle: </w:t>
      </w:r>
      <w:r>
        <w:t>https://mcp.opencaselaw.ch/entscheid/ge_gerichte_JTDP_1542_2024</w:t>
      </w:r>
    </w:p>
    <w:p>
      <w:r>
        <w:t>FR: GE_GERICHTE JTDP/1542/2024 du 19 décembre 2024</w:t>
      </w:r>
    </w:p>
    <w:p>
      <w:r>
        <w:t>IT: GE_GERICHTE JTDP/1542/2024 del 19 dicembre 2024</w:t>
      </w:r>
    </w:p>
    <w:p>
      <w:pPr>
        <w:pStyle w:val="Heading2"/>
      </w:pPr>
      <w:r>
        <w:t>Erwägungen</w:t>
      </w:r>
    </w:p>
    <w:p>
      <w:r>
        <w:rPr>
          <w:b/>
        </w:rPr>
        <w:t>E. 23</w:t>
      </w:r>
    </w:p>
    <w:p>
      <w:r>
        <w:t>mars 2018 consid. 1.2 ss et les références citées). Selon la jurisprudence cantonale, la signature de la direction du service des contraventions ayant signé l'ordonnance pénale est identifiable, même si le nom n'apparait pas sous la fonction (ACPR/5/2019). 1.2.1. En l'espèce, par la voix de son conseil, le prévenu a conclu à titre préjudiciel à l'annulation de l'ordonnance pénale entreprise pour vice de forme, dans la mesure où celle-ci ne comporte pas de signature manuscrite. Tout d'abord, il sera relevé que le dossier ne comprenant qu'une ordonnance pénale, il n'est pas possible de déterminer si la signature apposée sur l'ordonnance l'a été par impression automatisée. Toutefois, quand bien même cela aurait été le cas, la validité de l'ordonnance entreprise ne s'en trouverait pas pour autant entachée. En effet, le but premier de la signature d'une décision réside dans l'identification de son auteur. Or, le Tribunal relève à cet égard que ladite ordonnance comporte la mention "La Direction", accompagnée d'une signature, rendant ainsi son auteur identifiable. De surcroît, l'ordonnance entreprise a été remise en mains propres au prévenu par le Service des contreventions, permettant ainsi de garantir l'authenticité de son émetteur. L'apposition d'une signature permet par ailleurs de s'assurer que la décision a été rendue par la personne qui en a la compétence. Au vu de la délégation genevoise en la matière, le Service des contraventions est seul compétent et, au contraire du procureur assistant, la loi ne réserve pas cette compétence à certains employés dudit Service uniquement. Finalement, compte tenu du caractère automatisé des décisions, la question de la récusation de l'auteur de l'ordonnance pénale ne se pose pas. Au demeurant, il sera rappelé que l'ordonnance de maintien motivée comporte le nom de son auteur, sa fonction et une signature manuscrite. A cela s'ajoute que, contrairement à la jurisprudence précitée (ATF 148 IV 445), l'ordonnance pénale entreprise, relative à une contravention, a été rendue par une autorité administrative. Elle se distingue en cela du cas tranché par le Tribunal fédéral, soit une ordonnance pénale relative à un délit et prononcée par un procureur. Les exigences formelles ne sont de ce fait pas les mêmes. Exiger une signature manuscrite sur chacune des – très nombreuses – ordonnances pénales rendues par le Service des contraventions relèverait du formalisme excessif.</w:t>
      </w:r>
    </w:p>
    <w:p>
      <w:r>
        <w:t>- 6 -</w:t>
      </w:r>
    </w:p>
    <w:p>
      <w:r>
        <w:t>P/2194/2023</w:t>
      </w:r>
    </w:p>
    <w:p>
      <w:r>
        <w:t>Par conséquent, l'ordonnance pénale querellée est formellement valable et la question préjudicielle soulevée par le prévenu est rejetée. Au surplus, le Tribunal considère que l'invocation d'un vice de forme à ce stade de la procédure contrevient au principe de la bonne foi. En effet, le prévenu a formé opposition le jour de la notification de l'ordonnance. Son conseil a par la suite réitéré ladite opposition, sans soulever de vice de forme. Le Service des contraventions a, une nouvelle fois, donné l'occasion au prévenu et à son conseil d'exposer les motifs de l'opposition par courrier du 6 décembre 2022, lequel est resté lettre morte. Le prévenu a ensuite pris acte de la convocation aux débats. Ce n'est finalement qu'à l'audience de jugement et sur question préjudicielle que le vice de forme a été soulevé. Ce faisant, son invocation apparaît abusive et ne saurait être protégée. Pour ce motif également la question préjudicielle formée par le prévenu est rejetée. Culpabilité 2.1.1. Le principe in dubio pro reo, qui découle de la présomption d'innocence garantie par l'art. 6 § 2 de la Convention de sauvegarde des droits de l'homme et des libertés fondamentales (CEDH ; RS 0.101) et, sur le plan interne, par l'art. 32 al. 1 de la Constitution fédérale de la Confédération suisse (Cst. ; RS 101) et l'art. 10 du Code de procédure pénale (CPP ; RS 312.0), concerne tant le fardeau de la preuve que l'appréciation des preuves.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 124 IV 86 consid. 2a ; 120 Ia 31 consid. 2c). 2.1.2. Selon l'art. 90 al. 1 LCR, celui qui viole les règles de la circulation prévues par la présente loi ou par les dispositions d’exécution émanant du Conseil fédéral est puni de l’amende. 2.1.3. L'art. 49 al. 1 LCR prévoit comme règle que les piétons utiliseront le trottoir et non sur la chaussée dont l'usage est restrictif. À défaut de trottoir, ils longeront le bord de la chaussée et, si des dangers particuliers l’exigent, ils circuleront à la file. À moins que des circonstances spéciales ne s’y opposent, ils se tiendront sur le bord gauche de la chaussée, notamment de nuit à l’extérieur des localités. L'art. 46 al. 2 OCR précise que les piétons éviteront de s’attarder inutilement sur la chaussée, notamment aux endroits sans visibilité ou resserrés, aux intersections ainsi que de nuit et par mauvais temps.</w:t>
      </w:r>
    </w:p>
    <w:p>
      <w:r>
        <w:t>- 7 -</w:t>
      </w:r>
    </w:p>
    <w:p>
      <w:r>
        <w:t>P/2194/2023</w:t>
      </w:r>
    </w:p>
    <w:p>
      <w:r>
        <w:t>2.2. En l'espèce, les faits sont établis par le rapport de police, dont il n'y a pas lieu de s'écarter. Le contrevenant ne les conteste pas. Il sera donc reconnu coupable de violation simple des règles de la circulation routière (art. 90 al. 1 LCR cum art. 49 al. 1 LCR et 46 al. 2 OCR). 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L'art. 90 al. 1 LCR prévoit l'amende à titre de sanction. En application de l'art. 106 al. 1 CP, le montant maximal de celle-ci est, en principe, de CHF 10'000.-. 3.1.3. Selon l'art. 106 al. 2 CP, le juge prononce, pour le cas où, de manière fautive, le condamné ne paie pas l'amende, une peine privative de liberté de substitution d'un jour au moins et de trois mois au plus. Le juge fixe l'amende et la peine privative de liberté de substitution en tenant compte de la situation de l'auteur afin que la peine corresponde à la faute commise. Ainsi, au moment de fixer la peine privative de liberté de substitution à une amende, le juge ne doit tenir compte que de la culpabilité de l'auteur, à l'exclusion des circonstances financières propres au condamné (ATF 134 IV 97 consid. 6.3.7.1 ; 134 IV 60 consid. 7.3.3). 3.2. En l'espèce, la faute du prévenu est légère du fait qu'il n'a que faiblement troublé l'ordre public, en particulier les autres usagers de la route. Dès lors qu'il s'est attardé sur la chaussée alors qu'il mendiait, sa situation personnelle précaire peut expliquer ses agissements mais ne les justifie pas totalement, dans la mesure</w:t>
      </w:r>
    </w:p>
    <w:p>
      <w:r>
        <w:t>- 8 -</w:t>
      </w:r>
    </w:p>
    <w:p>
      <w:r>
        <w:t>P/2194/2023</w:t>
      </w:r>
    </w:p>
    <w:p>
      <w:r>
        <w:t>où il pouvait s'adonner à la mendicité en d'autres lieux que sur la chaussée, sur laquelle il met en danger sa propre sécurité et celle des autres usagers de la route. Sa collaboration à la procédure est sans particularité dans la mesure où il ne s'est pas présenté aux débats. Ainsi, une amende de CHF 60.- sera prononcée, sanctionnant le prévenu de manière adéquate et proportionnée, assortie d'une peine privative de liberté de substitution d'un jour. Frais 4. Vu l'issue de la procédure, le prévenu sera condamné aux frais de la procédure, lesquels seront arrêtés à CHF 50.- afin de tenir compte de son impécuniosité et pour ne pas être en disproportion avec le montant de l'amende prononcée (art. 426 al. 1 CPP). PAR CES MOTIFS, LE TRIBUNAL DE POLICE statuant contradictoirement : Déclare A______ coupable de violation simple des règles de la circulation routière (art. 90 al. 1 LCR cum art. 49 al. 1LCR et 46 al. 2 OCR). Condamne A______ à une amende de CHF 60.- (art. 106 CP). Prononce une peine privative de liberté de substitution d'un jour. Dit que la peine privative de liberté de substitution sera mise à exécution si, de manière fautive, l'amende n'est pas payée. Condamne A______ aux frais de la procédure, qui s'élèvent à CHF 405.-, y compris un émolument de jugement de CHF 200.00, frais arrêtés à CHF 50.- (art. 426 al. 1 CPP). Ordonne la communication du présent jugement aux autorités suivantes : Office cantonal de la population et des migrations, Service cantonal des véhicules et Service des contraventions (art. 81 al. 4 let. f CPP). La Greffière</w:t>
      </w:r>
    </w:p>
    <w:p>
      <w:r>
        <w:t>Inès MORETTI BJERTNES</w:t>
      </w:r>
    </w:p>
    <w:p>
      <w:r>
        <w:t>La Présidente</w:t>
      </w:r>
    </w:p>
    <w:p>
      <w:r>
        <w:t>Judith LEVY OWCZARCZAK</w:t>
      </w:r>
    </w:p>
    <w:p>
      <w:r>
        <w:t>Voies de recours</w:t>
      </w:r>
    </w:p>
    <w:p>
      <w:r>
        <w:t>- 9 -</w:t>
      </w:r>
    </w:p>
    <w:p>
      <w:r>
        <w:t>P/2194/2023</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 Etat de frais Frais du Service des contraventions CHF 60.00 Convocations devant le Tribunal CHF 60.00 Frais postaux (convocation) CHF 21.00 Emolument de jugement CHF 200.00 Etat de frais CHF 50.00 Frais postaux (notification) CHF 14.00 Total CHF 405.00 frais arrêtés à CHF 50.00</w:t>
      </w:r>
    </w:p>
    <w:p>
      <w:r>
        <w:t>Notification à/au : - A______, soit pour lui Me Dina BAZARBACHI - Service des contraventions -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