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JTDP/1541/2024 vom 19. Dezember 2024</w:t>
      </w:r>
    </w:p>
    <w:p>
      <w:r>
        <w:t>GE Cour de justice, 2024-12-19, FR</w:t>
      </w:r>
    </w:p>
    <w:p>
      <w:r>
        <w:rPr>
          <w:b/>
        </w:rPr>
        <w:t xml:space="preserve">Quelle: </w:t>
      </w:r>
      <w:r>
        <w:t>https://mcp.opencaselaw.ch/entscheid/ge_gerichte_JTDP_1541_2024</w:t>
      </w:r>
    </w:p>
    <w:p>
      <w:r>
        <w:t>FR: GE_GERICHTE JTDP/1541/2024 du 19 décembre 2024</w:t>
      </w:r>
    </w:p>
    <w:p>
      <w:r>
        <w:t>IT: GE_GERICHTE JTDP/1541/2024 del 19 dicembre 2024</w:t>
      </w:r>
    </w:p>
    <w:p>
      <w:pPr>
        <w:pStyle w:val="Heading2"/>
      </w:pPr>
      <w:r>
        <w:t>Erwägungen</w:t>
      </w:r>
    </w:p>
    <w:p>
      <w:r>
        <w:rPr>
          <w:b/>
        </w:rPr>
        <w:t>E. 23</w:t>
      </w:r>
    </w:p>
    <w:p>
      <w:r>
        <w:t>mars 2018 consid. 1.2 ss et les références citées). Selon la jurisprudence cantonale, la signature de la direction du service des contraventions ayant signé l'ordonnance pénale est identifiable, même si le nom n'apparait pas sous la fonction (ACPR/5/2019).</w:t>
      </w:r>
    </w:p>
    <w:p>
      <w:r>
        <w:t>- 5 -</w:t>
      </w:r>
    </w:p>
    <w:p>
      <w:r>
        <w:t>P/21539/2024</w:t>
      </w:r>
    </w:p>
    <w:p>
      <w:r>
        <w:t>1.1.5. L'invocation d'un vice de forme trouve ses limites dans le principe de la bonne foi (art. 5 al. 3 Cst.; art. 3 al. 2 let. a CPP) qui s'applique tant aux autorités qu'aux particuliers et notamment au prévenu (ATF 143 IV 117 consid. 3.2. p. 121). Ce principe oblige celui qui constate un prétendu vice de procédure à le signaler immédiatement, à la première occasion possible (ATF 143 V 66 consid. 4.3 p. 70). Est ainsi contraire au principe de bonne foi le comportement consistant à ne faire valoir un tel vice qu'à un stade ultérieur de la procédure ou même dans une procédure subséquente, alors qu'il aurait pu être constaté plus tôt et guéri (ATF 143 V 66 consid. 4.3 p. 70 et les arrêts cités). De même le principe de la bonne foi interdit d'attendre en restant passif afin de pouvoir se prévaloir ultérieurement d'un vice si la procédure au cours de laquelle il a été constaté lui est défavorable (cf. ATF 141 III 210 consid. 5.2; également ATF 143 V 66 consid. 4.3 p. 69; arrêt 6B_14/2015 du 28 janvier 2016 consid. 2.1). 1.2. En l'espèce, par la voix de son conseil, la prévenue a conclu à titre préjudiciel à l'annulation de l'ordonnance pénale entreprise pour vice de forme, dans la mesure où celle-ci ne comporte pas de signature manuscrite. Tout d'abord, il sera relevé que le dossier ne comprenant qu'une ordonnance pénale, il n'est pas possible de déterminer si la signature apposée sur l'ordonnance l'a été par impression automatisée. Toutefois, quand bien même cela aurait été le cas, la validité de l'ordonnance entreprise ne s'en trouverait pas pour autant entachée. En effet, le but premier de la signature d'une décision réside dans l'identification de son auteur. Or, le Tribunal relève à cet égard que ladite ordonnance comporte la mention "La Direction", accompagnée d'une signature, rendant ainsi son auteur identifiable. L'apposition d'une signature permet par ailleurs de s'assurer que la décision a été rendue par la personne qui en a la compétence. Au vu de la délégation genevoise en la matière, le Service des contraventions est seul compétent et, au contraire du procureur assistant, la loi ne réserve pas cette compétence à certains employés dudit Service uniquement. Finalement, compte tenu du caractère automatisé des décisions, la question de la récusation de l'auteur de l'ordonnance pénale ne se pose pas. Au demeurant, il sera rappelé que l'ordonnance de maintien motivée comporte le nom de son auteur, sa fonction et une signature manuscrite. A cela s'ajoute que, contrairement à la jurisprudence précitée (ATF 148 IV 445), l'ordonnance pénale entreprise, relative à une contravention, a été rendue par une autorité administrative. Elle se distingue en cela du cas tranché par le Tribunal fédéral, soit une ordonnance pénale relative à un délit et prononcée par un procureur. Les exigences formelles ne sont de ce fait pas les mêmes. Exiger une signature manuscrite sur chacune des – très nombreuses – ordonnances pénales rendues par le Service des contraventions relèverait du formalisme excessif.</w:t>
      </w:r>
    </w:p>
    <w:p>
      <w:r>
        <w:t>- 6 -</w:t>
      </w:r>
    </w:p>
    <w:p>
      <w:r>
        <w:t>P/21539/2024</w:t>
      </w:r>
    </w:p>
    <w:p>
      <w:r>
        <w:t>Par conséquent, l'ordonnance pénale querellée est formellement valable et la question préjudicielle soulevée par la prévenue est rejetée. Au surplus, le Tribunal considère que l'invocation d'un vice de forme à ce stade de la procédure contrevient au principe de la bonne foi. En effet, la prévenue était assistée d'un conseil et a formé opposition à l'encontre de la décision dont elle faisait l'objet, sans soulever de vice de forme. Elle a ensuite pris acte de la convocation aux débats. Ce n'est finalement qu'à l'audience de jugement et sur question préjudicielle que le vice de forme a été soulevé. Ce faisant, son invocation apparaît abusive et ne saurait être protégée. Pour ce motif également la question préjudicielle formée par la prévenue est rejetée. Culpabilité 2.1.1. Le principe in dubio pro reo, qui découle de la présomption d'innocence garantie par l'art. 6 § 2 de la Convention de sauvegarde des droits de l'homme et des libertés fondamentales (CEDH ; RS 0.101) et, sur le plan interne, par l'art. 32 al. 1 de la Constitution fédérale de la Confédération suisse (Cst. ; RS 101) et l'art. 10 du Code de procédure pénale (CPP ; RS 312.0),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2.1.2. Aux termes de l'art. 57 al. 3 LTV, est puni, sur plainte, d'une amende, quiconque, intentionnellement ou par négligence, fait usage d'un véhicule sans détenir de titre de transport valable ou sans y être autrement autorisé. 2.2. En l'espèce, les faits reprochés sont établis par le constat d'infraction des TPG, suffisamment clair, détaillé et non contesté par la contrevenante. Au demeurant, rien ne justifie que cette dernière puisse emprunter les transports en commun gratuitement. Les faits sont constitutifs d'infraction à l'art. 57 al. 3 LTV, dont elle sera reconnue coupable.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w:t>
      </w:r>
    </w:p>
    <w:p>
      <w:r>
        <w:t>- 7 -</w:t>
      </w:r>
    </w:p>
    <w:p>
      <w:r>
        <w:t>P/21539/2024</w:t>
      </w:r>
    </w:p>
    <w:p>
      <w:r>
        <w:t>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L'art. 57 al. 3 LTV prévoit l'amende à titre de sanction. En application de l'art. 106 al. 1 CP, le montant maximal de celle-ci est, en principe, de CHF 10'000.-. 3.1.3.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 3.2. En l'espèce, la faute de la prévenue est légère, dans la mesure où elle n'a que faiblement troublé l'ordre public. Sa collaboration à la procédure est sans particularité dans la mesure où elle ne s'est pas présentée aux débats. Ainsi, une amende de CHF 60.- sera prononcée, sanctionnant la prévenue de manière adéquate et proportionnée, assortie d'une peine privative de liberté de substitution d'un jour. Frais 4. Vu l'issue de la procédure, la prévenue sera condamnée aux frais de la procédure, lesquels seront arrêtés à CHF 50.- afin de tenir compte de son impécuniosité et pour ne pas être en disproportion avec le montant de l'amende prononcée (art. 426 al. 1 CPP).</w:t>
      </w:r>
    </w:p>
    <w:p>
      <w:r>
        <w:t>- 8 -</w:t>
      </w:r>
    </w:p>
    <w:p>
      <w:r>
        <w:t>P/21539/2024</w:t>
      </w:r>
    </w:p>
    <w:p>
      <w:r>
        <w:t>PAR CES MOTIFS, LE TRIBUNAL DE POLICE statuant contradictoirement : Déclare X______ coupable d'infraction à l'art. 57 al. 3 LTV. Condamne X______ à une amende de CHF 60.- (art. 106 CP). Prononce une peine privative de liberté de substitution d'un jour. Dit que la peine privative de liberté de substitution sera mise à exécution si, de manière fautive, l'amende n'est pas payée. Condamne X______ aux frais de la procédure, qui s'élèvent à CHF 425.-, y compris un émolument de jugement de CHF 200.-, frais arrêtés à CHF 50.- (art. 426 al. 1 CPP). Ordonne la communication du présent jugement aux autorités suivantes : Office cantonal de la population et des migrations et Service des contraventions (art. 81 al. 4 let. f CPP).</w:t>
      </w:r>
    </w:p>
    <w:p>
      <w:r>
        <w:t>La Greffière</w:t>
      </w:r>
    </w:p>
    <w:p>
      <w:r>
        <w:t>Inès MORETTI BJERTNES</w:t>
      </w:r>
    </w:p>
    <w:p>
      <w:r>
        <w:t>La Présidente</w:t>
      </w:r>
    </w:p>
    <w:p>
      <w:r>
        <w:t>Judith LEVY OWCZARCZAK</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- 9 -</w:t>
      </w:r>
    </w:p>
    <w:p>
      <w:r>
        <w:t>P/21539/2024</w:t>
      </w:r>
    </w:p>
    <w:p>
      <w:r>
        <w:t>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Service des contraventions CHF 80.00 Convocations devant le Tribunal CHF 60.00 Frais postaux (convocation) CHF 21.00 Emolument de jugement CHF 200.00 Etat de frais CHF 50.00 Frais postaux (notification) CHF 14.00 Total CHF 425.00, frais arrêtés à CHF 50.-</w:t>
      </w:r>
    </w:p>
    <w:p>
      <w:r>
        <w:t>Notification à/au : - X______, soit pour lui Me Dina BAZARBACHI - Service des contraventions - Ministère public Par voie postale</w:t>
      </w:r>
    </w:p>
    <w:p>
      <w:r>
        <w:t>- 10 -</w:t>
      </w:r>
    </w:p>
    <w:p>
      <w:r>
        <w:t>P/21539/2024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