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JTDP/1450/2017 vom 7. November 2017</w:t>
      </w:r>
    </w:p>
    <w:p>
      <w:r>
        <w:t>GE Cour de justice, 2017-11-07, FR</w:t>
      </w:r>
    </w:p>
    <w:p>
      <w:r>
        <w:rPr>
          <w:b/>
        </w:rPr>
        <w:t xml:space="preserve">Quelle: </w:t>
      </w:r>
      <w:r>
        <w:t>https://mcp.opencaselaw.ch/entscheid/ge_gerichte_JTDP_1450_2017</w:t>
      </w:r>
    </w:p>
    <w:p>
      <w:r>
        <w:t>FR: GE_GERICHTE JTDP/1450/2017 du 7 novembre 2017</w:t>
      </w:r>
    </w:p>
    <w:p>
      <w:r>
        <w:t>IT: GE_GERICHTE JTDP/1450/2017 del 7 novembre 2017</w:t>
      </w:r>
    </w:p>
    <w:p>
      <w:pPr>
        <w:pStyle w:val="Heading2"/>
      </w:pPr>
      <w:r>
        <w:t>Volltext</w:t>
      </w:r>
    </w:p>
    <w:p>
      <w:r>
        <w:t>Siégeant :M. François HADDAD, président, M. Laurent FAVRE, greffier. P/12145/2014 RÉPUBLIQUE ET</w:t>
      </w:r>
    </w:p>
    <w:p>
      <w:r>
        <w:t>CANTON DE GENÈVE POUVOIR JUDICIAIRE</w:t>
      </w:r>
    </w:p>
    <w:p>
      <w:r>
        <w:t>JUGEMENT DU TRIBUNAL DE POLICE</w:t>
      </w:r>
    </w:p>
    <w:p>
      <w:r>
        <w:t>Chambre 11</w:t>
      </w:r>
    </w:p>
    <w:p>
      <w:r>
        <w:t>7 novembre 2017</w:t>
      </w:r>
    </w:p>
    <w:p>
      <w:r>
        <w:t>MINISTÈRE PUBLIC</w:t>
      </w:r>
    </w:p>
    <w:p>
      <w:r>
        <w:t>Contre</w:t>
      </w:r>
    </w:p>
    <w:p>
      <w:r>
        <w:t>Monsieur A______, né le______ 1993, domicilié Rue ______, Bâtiment H, G______, FRANCE, prévenu</w:t>
      </w:r>
    </w:p>
    <w:p>
      <w:r>
        <w:t>- 2 - P/12145/2014 CONCLUSIONS FINALES DES PARTIES : Le Ministère public persiste dans les termes de son ordonnance de condamnation. A______ n'a pas comparu à l'audience.</w:t>
      </w:r>
    </w:p>
    <w:p>
      <w:r>
        <w:t>***** Vu l'opposition formée le 28 août 2015 A______ à l'ordonnance pénale du Ministère public du 14 août 2015, notifiée le 24 août 2015 ; Vu l'art. 356 al. 2 CPP selon lequel le tribunal de première instance statue sur la validité de l'ordonnance pénale et de l'opposition ; Attendu que l'ordonnance pénale et l'opposition sont conformes aux prescriptions des art. 352, 353 et 354 CPP ;</w:t>
      </w:r>
    </w:p>
    <w:p>
      <w:r>
        <w:t>EN FAIT: A. Par ordonnance pénale du 14 août 2015, il est reproché à A______ d'avoir, à Genève, le 1er décembre 2013, à 05h39, sur la route de Meyrin en direction du carrefour du Bouchet, à hauteur des Fontaines-Saintes, circulé au volant du véhicule automobile immatriculé France 1______à la vitesse de 96 km/h, alors que la vitesse maximale autorisée à cet endroit est de 50 km/h. B. Les faits pertinents suivants ressortent de la procédure. a.a. Entendu par la police française sur commission rogatoire le 18 mai 2015, A______ a confirmé avoir été propriétaire du véhicule immatriculé 1______et l'avoir revendu à son ami E______. Suite à cette vente, il avait continué à conduire la voiture très régulièrement. Il était possible qu'il eût été au volant de la voiture le 1er décembre 2013, dans la mesure où il s'était rendu à plusieurs reprises en Suisse, généralement les week- ends. Les faits s'étant produits plus d'une année auparavant, il ne se souvenait pas s'il était l'auteur de l'infraction reprochée ou non. a.b. Entendu par la police française sur commission rogatoire le 6 juin 2016, E______ a confirmé avoir été le propriétaire de la voiture immatriculée 1______au moment des faits mais a nié être l'auteur de l'infraction. Après avoir acheté la voiture à A______, ce dernier avait continué à l'utiliser régulièrement durant les week-ends. Il ne s'était pas rendu en Suisse avec sa voiture et avait revendu cette dernière deux ans auparavant.</w:t>
      </w:r>
    </w:p>
    <w:p>
      <w:r>
        <w:t>- 3 - P/12145/2014 a.c. Lors de son audition par la police française sur commission rogatoire le 14 juin 2016, F______, sœur de A______ et curatrice de ce dernier, a confirmé que ce dernier avait été propriétaire de la voiture immatriculée 1______et qu'il l'avait revendue à son ami E______ le 26 septembre 2013. Elle ne savait pas si, suite à cette vente, A______ avant continué à utiliser la voiture. Elle a indiqué que, dans la nuit du 30 novembre au 1er décembre 2013, son frère se trouvait avec elle. En effet, cette nuit-là, ils étaient tous les deux restés au chevet de leur mère malade à G______. Avant d'aller se coucher à 6h00 du matin du 1er décembre 2013, elle avait pu constater que son frère se trouvait bien dans la maison. F______ a précisé que son frère ne reconnaissait pas l'infraction reprochée. Selon elle, l'excès de vitesse avait été commis à l'aide d'une plaque de voiture usurpée. a.d. Il ressort, par ailleurs, des pièces produites par la curatrice légale du prévenu qu'une plainte pénale a été déposée par ce dernier pour usurpation de plaques. F______ a par ailleurs été entendue par la police française au sujet de ces faits. C. Le prévenu ne s'est pas présenté à l'audience du 20 octobre 2017 par devant le Tribunal de céans, à laquelle il avait été dûment convoqué. D. A______ est né le ______1983 à Villeurbanne, en France. Il expose être célibataire et sans enfant. Il a effectué sa scolarité secondaire obligatoire et obtenu un baccalauréat. Il ressort enfin d'une attestation établie par un psychothérapeute et produite par F______ pour le compte de son protégé, que A______ souffre de problèmes psychologiques et qu'il a présenté des signes de troubles psychotiques avec des hallucinations et des délires. Selon l'extrait du casier judiciaire suisse, le prévenu n'a fait l'objet d'aucune condamnation. EN DROIT: 1.1. La présomption d'innocence, garantie par les art. 14 par. 2 Pacte ONU, 6 par. 2 CEDH, 32 al. 1 Cst. et 10 CPP, ainsi que son corollaire, le principe in dubio pro reo, concernent tant le fardeau de la preuve que l'appréciation des preuves (ATF 120 Ia 31 consid. 2c p. 36).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p. 41; 124 IV 86 consid. 2a</w:t>
      </w:r>
    </w:p>
    <w:p>
      <w:r>
        <w:t>- 4 - P/12145/2014 p. 88, 120 Ia 31 consid. 2c p. 37). Cela étant, le juge du fond ne peut retenir un fait défavorable à l'accusé que s'il est convaincu de la matérialité de ce fait, de sorte que le doute profite à l'accusé (ATF 120 Ia 31 consid. 2c p. 37). 1.2. A teneur de l'art. 26 al. 1 LCR, chacun doit se comporter, dans la circulation, de manière à ne pas gêner ni mettre en danger ceux qui utilisent la route conformément aux règles établies. 1.3. En vertu de l'art. 27 al. 1 LCR, chacun se conformera aux signaux et aux marques ainsi qu'aux ordres de la police. Les signaux et les marques priment les règles générales; les ordres de la police ont le pas sur les règles générales, les signaux et les marques. 1.4.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1.5. Selon l'art. 90 al. 2 LCR, celui qui, par une violation grave d'une règle de la circulation, crée un sérieux danger pour la sécurité d'autrui ou en prend le risque est puni d'une peine privative de liberté de trois ans au plus ou d'une peine pécuniaire. L'infraction réprimée par l'article 90 alinéa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l'article 90 alinéa 2 LCR implique à tout le moins une négligence grossière (ATF 6B_3/2014 du 28 avril 2014). 1.6.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124 II 259 consid. 2b p. 261 ss). Le conducteur qui dépasse de manière aussi caractérisée la vitesse autorisée agit intentionnellement ou à tout le moins par négligence grossière. 2.1. En l'espèce, le Tribunal considère qu'il existe un doute insurmontable s'agissant de la culpabilité du prévenu compte tenu des explications de sa curatrice ainsi que du fait</w:t>
      </w:r>
    </w:p>
    <w:p>
      <w:r>
        <w:t>- 5 - P/12145/2014 que lui-même n'a pas été en mesure d'indiquer de manière précise s'il a ou non commis l'infraction qui lui est reprochée. Il sera en conséquence acquitté au bénéfice du doute.</w:t>
      </w:r>
    </w:p>
    <w:p>
      <w:r>
        <w:t>PAR CES MOTIFS, LE TRIBUNAL DE POLICE statuant sur opposition : Déclare valables l'ordonnance pénale du 14 août 2015 et l'opposition formée contre celle-ci par A______ le 28 août 2015. et statuant à nouveau par défaut : Acquitte A______ du chef d'infraction de violation grave des règles de la circulation routière (art. 90 al. 2 LCR). Laisse les frais de la procédure à la charge de l'Etat.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Le Greffier</w:t>
      </w:r>
    </w:p>
    <w:p>
      <w:r>
        <w:t>Laurent FAVRE</w:t>
      </w:r>
    </w:p>
    <w:p>
      <w:r>
        <w:t>Le Président</w:t>
      </w:r>
    </w:p>
    <w:p>
      <w:r>
        <w:t>François HADDAD</w:t>
      </w:r>
    </w:p>
    <w:p>
      <w:r>
        <w:t>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fait défaut aux débats sans excuse valable (art. 368 CPP). En parallèle, la personne condamnée peut également faire une déclaration d'appel. Un appel n'est</w:t>
      </w:r>
    </w:p>
    <w:p>
      <w:r>
        <w:t>- 6 - P/12145/2014 recevable que si la demande de nouveau jugement a été rejetée (art. 371 al. 1 et 2 CPP).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- 7 - P/12145/2014</w:t>
      </w:r>
    </w:p>
    <w:p>
      <w:r>
        <w:t>ETAT DE FRAIS Frais du Ministère public CHF 260.00 Convocations devant le Tribunal CHF 30.00 Frais postaux (convocation) CHF 10.00 Émolument de jugement CHF 300.00 Etat de frais CHF 50.00 Frais postaux (notification) CHF 7.00 Total CHF 657.00 ========== Émolument de jugement complémentaire CHF 0 ========== Total des frais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