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JTDP/1393/2022 vom 15. November 2022</w:t>
      </w:r>
    </w:p>
    <w:p>
      <w:r>
        <w:t>GE Cour de justice, 2022-11-15, FR</w:t>
      </w:r>
    </w:p>
    <w:p>
      <w:r>
        <w:rPr>
          <w:b/>
        </w:rPr>
        <w:t xml:space="preserve">Quelle: </w:t>
      </w:r>
      <w:r>
        <w:t>https://mcp.opencaselaw.ch/entscheid/ge_gerichte_JTDP_1393_2022</w:t>
      </w:r>
    </w:p>
    <w:p>
      <w:r>
        <w:t>FR: GE_GERICHTE JTDP/1393/2022 du 15 novembre 2022</w:t>
      </w:r>
    </w:p>
    <w:p>
      <w:r>
        <w:t>IT: GE_GERICHTE JTDP/1393/2022 del 15 novembre 2022</w:t>
      </w:r>
    </w:p>
    <w:p>
      <w:pPr>
        <w:pStyle w:val="Heading2"/>
      </w:pPr>
      <w:r>
        <w:t>Erwägungen</w:t>
      </w:r>
    </w:p>
    <w:p>
      <w:r>
        <w:rPr>
          <w:b/>
        </w:rPr>
        <w:t>E. 1</w:t>
      </w:r>
    </w:p>
    <w:p>
      <w:r>
        <w:t>A titre préjudiciel, la défense a réitéré ses réquisitions de preuve du 14 octobre 2022, à savoir la demande d'audition en qualité de témoins de G_____, ex-épouse du prévenu, et de H_____, ancien employé de B______ SARL et ancien associé du prévenu, rejetées lors de l'audience de jugement.</w:t>
      </w:r>
    </w:p>
    <w:p>
      <w:r>
        <w:rPr>
          <w:b/>
        </w:rPr>
        <w:t>E. 1.1</w:t>
      </w:r>
    </w:p>
    <w:p>
      <w:r>
        <w:t>Le Tribunal ne procède qu'à l'administration de nouvelles preuves et complète les preuves administrées de manière insuffisante. Il ne réitère l'administration de preuves administrées en bonne et due forme lorsque la connaissance directe du moyen de preuve apparaît nécessaire au prononcé du jugement (art. 343 al. 1 et 2 CPP). Il n'y a pas lieu d'administrer des preuves sur des faits non pertinents, notoires, connus de l'autorité pénale ou déjà suffisamment prouvés (art. 139 al. 2 CPP). Le droit d'être entendu, garanti par l'art. 29 al. 2 Cst.,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w:t>
      </w:r>
    </w:p>
    <w:p>
      <w:r>
        <w:rPr>
          <w:b/>
        </w:rPr>
        <w:t>E. 1.2</w:t>
      </w:r>
    </w:p>
    <w:p>
      <w:r>
        <w:t>En l'espèce, l'administration des preuves requises n'apparaît pas nécessaire au prononcé du jugement. Il appartiendra au Tribunal d'apprécier librement les preuves recueillies selon l'intime conviction qu'il retire de l'ensemble de la procédure (art. 10 al.</w:t>
      </w:r>
    </w:p>
    <w:p>
      <w:r>
        <w:rPr>
          <w:b/>
        </w:rPr>
        <w:t>E. 2</w:t>
      </w:r>
    </w:p>
    <w:p>
      <w:r>
        <w:t>CP). 4.1.2.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ATF 134 IV 1 consid. 4.2.2). Si le juge suspend totalement ou partiellement l'exécution d'une peine, il impartit au condamné un délai d'épreuve de deux à cinq ans (art. 44 al. 1 CP). 4.1.3.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(al. 1). S'il n'y a pas lieu de prévoir que le condamné commettra de nouvelles infractions, le juge renonce à ordonner la révocation. Il peut adresser au condamné un avertissement et prolonger le délai d’épreuve de la moitié au plus de la durée fixée dans le jugement (al. 2). La commission d'un crime ou d'un délit durant le délai d'épreuve n'entraîne pas nécessairement une révocation du sursis. Elle ne se justifie qu'en cas de pronostic défavorable,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(ATF 134 IV 140 consid. 4.2 et 4.3 ; arrêt du Tribunal fédéral 6B_105/2016 du 11 octobre 2016 consid. 1.1). 4.2.1. En l'espèce, s'agissant de l'infraction à la LCR, la faute du prévenu n'est pas négligeable. Il a agi au détriment de la sécurité d'autrui et sans considération pour les règles de la circulation applicables. Rien n'excluait la présence d'autres usagers à cet</w:t>
      </w:r>
    </w:p>
    <w:p>
      <w:r>
        <w:t>- 12 -</w:t>
      </w:r>
    </w:p>
    <w:p>
      <w:r>
        <w:t>P/20552/2019</w:t>
      </w:r>
    </w:p>
    <w:p>
      <w:r>
        <w:t>endroit, parmi lesquels des cyclistes, des piétons ou des employés actifs dans cette zone en travaux. À décharge, le Tribunal retiendra la route sèche, le trafic fluide, ainsi que la visibilité et les conditions météorologiques diurnes qui étaient bonnes. S'agissant du détournement de cotisations sociales et LPP, le prévenu a agi par mépris des lois et des partenaires sociaux. Sa collaboration à la procédure peut être qualifiée de bonne. Il y a concours d'infractions, facteur d'aggravation de la peine. Le prévenu montre une prise de conscience de ses agissements, indiquant avoir compris qu'il fallait payer les charges sociales avant toute chose. Au vu des infractions visées, une peine pécuniaire sera infligée au prévenu, étant précisé que l'infraction à l'art 87 al. 4 LAVS n'est passible que d'une telle peine, tandis que, s'agissant des autres infractions, le maintien de l'ordre public n'exige pas le prononcé d'une peine privative de liberté. Si le Tribunal devait cumuler les peines pour les infractions dont le prévenu est reconnu coupable, le maximum légal de la peine pécuniaire serait largement dépassé. Ainsi, pour tenir compte du principe d'aggravation tout en respectant le plafond du genre de peine, la quotité de la peine pécuniaire sera fixée à 180 jours-amende. Le montant du jour-amende sera fixé à CHF 100.- l'unité. Le sursis, dont les conditions sont réalisées, lui sera octroyé, et la durée du délai d'épreuve sera fixée à 3 ans. Il sera renoncé à la révocation du sursis antérieur octroyé le 3 janvier 2019 par le Ministère public du canton du Valais vu la peine de 180 jours-amende fixée, qui apparait suffisamment dissuasive, et l'absence de pronostic défavorable. 5.1.1. A teneur de l'art. 122 al. 1 CPP, en qualité de partie plaignante, le lésé peut faire valoir des conclusions civiles déduites de l'infraction par adhésion à la procédure pénale. Conformément à l'art. 126 al. 1 let. a et b CPP, le Tribunal statue sur les conclusions civiles présentées lorsqu'il rend un verdict de culpabilité à l'encontre du prévenu ou lorsqu'il l'acquitte et que l'état de fait est suffisamment établi. 5.1.2. La caisse de compensation fait valoir sa créance en réparation du dommage par voie de décision (art. 52 al. 4 LAVS). 5.2. En l'espèce, la partie plaignante, en tant que caisse de compensation, doit faire valoir son dommage par voie de décision administrative, ce qu'elle a d'ailleurs fait. Par conséquent, les conclusions civiles de la partie plaignante seront déclarées irrecevables au sens de l'art. 122 al. 1 CPP a contrario et de l'art. 52 al. 4 LAVS. 6.1.1. À teneur de l'art. 426 al. 1 CPP, le prévenu supporte les frais de la procédure s'il est condamné.</w:t>
      </w:r>
    </w:p>
    <w:p>
      <w:r>
        <w:t>- 13 -</w:t>
      </w:r>
    </w:p>
    <w:p>
      <w:r>
        <w:t>P/20552/2019</w:t>
      </w:r>
    </w:p>
    <w:p>
      <w:r>
        <w:t>Lorsque la procédure fait l'objet d'une ordonnance de classement ou que le prévenu est acquitté, tout ou partie de frais de procédure peuvent être mis à sa charge s'il a, de manière illicite et fautive, provoqué l'ouverture de la procédure ou rendu plus difficile la conduite de celle-ci (al. 2). La décision sur les frais préjuge celle sur l'indemnité au sens de l'art. 429 CPP (ATF 137 IV 352 et 145 IV 268). 6.1.2. Si le prévenu est acquitté totalement ou en partie ou s'il bénéficie d'une ordonnance de classement, il a droit à une indemnité pour les dépenses occasionnées par l'exercice raisonnable de ses droits de procédure (art. 429 al. 1 let. a CPP). 6.2.1. Vu son acquittement partiel, 80% des frais de la procédure, qui s'élèvent au total à CHF 1'085.- y compris un émolument de jugement de CHF 300.-, seront mis à la charge du prévenu (art. 426 al. 1 CPP), le solde étant laissé à la charge de l'Etat. Vu l’annonce d’appel du prévenu à l’origine du présent jugement motivé, ce dernier sera condamné à un émolument complémentaire de jugement de CHF 600.- (art. 9 al. 2 du Règlement fixant le tarif des frais en matière pénale RTFMP ; E 4.10.03). 6.2.2. Le prévenu sera indemnisé à hauteur de 20% des dépenses occasionnées pour ses frais de défense, soit CHF 2'886.-.</w:t>
      </w:r>
    </w:p>
    <w:p>
      <w:r>
        <w:t>- 14 -</w:t>
      </w:r>
    </w:p>
    <w:p>
      <w:r>
        <w:t>P/20552/2019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