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JTDP/1378/2023 vom 30. Oktober 2023</w:t>
      </w:r>
    </w:p>
    <w:p>
      <w:r>
        <w:t>GE Cour de justice, 2023-10-30, FR</w:t>
      </w:r>
    </w:p>
    <w:p>
      <w:r>
        <w:rPr>
          <w:b/>
        </w:rPr>
        <w:t xml:space="preserve">Quelle: </w:t>
      </w:r>
      <w:r>
        <w:t>https://mcp.opencaselaw.ch/entscheid/ge_gerichte_JTDP_1378_2023</w:t>
      </w:r>
    </w:p>
    <w:p>
      <w:r>
        <w:t>FR: GE_GERICHTE JTDP/1378/2023 du 30 octobre 2023</w:t>
      </w:r>
    </w:p>
    <w:p>
      <w:r>
        <w:t>IT: GE_GERICHTE JTDP/1378/2023 del 30 ottobre 2023</w:t>
      </w:r>
    </w:p>
    <w:p>
      <w:pPr>
        <w:pStyle w:val="Heading2"/>
      </w:pPr>
      <w:r>
        <w:t>Erwägungen</w:t>
      </w:r>
    </w:p>
    <w:p>
      <w:r>
        <w:rPr>
          <w:b/>
        </w:rPr>
        <w:t>E. 1.1</w:t>
      </w:r>
    </w:p>
    <w:p>
      <w:r>
        <w:t>Le principe in dubio pro reo,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Comme règle de l'appréciation des preuves, le principe in dubio pro reo signifie que le juge ne peut se déclarer convaincu d'un état de fait défavorable à l'accusé, lorsqu'une</w:t>
      </w:r>
    </w:p>
    <w:p>
      <w:r>
        <w:t>- 13 -</w:t>
      </w:r>
    </w:p>
    <w:p>
      <w:r>
        <w:t>P/2215/2021</w:t>
      </w:r>
    </w:p>
    <w:p>
      <w:r>
        <w:t>appréciation objective de l'ensemble des éléments de preuve laisse subsister un doute sérieux et insurmontable quant à l'existence de cet état de fait (ATF 127 I 38 consid. 2a).</w:t>
      </w:r>
    </w:p>
    <w:p>
      <w:r>
        <w:rPr>
          <w:b/>
        </w:rPr>
        <w:t>E. 1.2</w:t>
      </w:r>
    </w:p>
    <w:p>
      <w:r>
        <w:t>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6B_716/2010 du 15 novembre 2010 consid. 1.3; 6B_360/2008 du 12 novembre 2008 consid. 4.3). Le juge peut fonder sa condamnation sur les seules déclarations de la victime, ce d'autant plus si celles-ci sont corroborées pas d'autres éléments (arrêt du Tribunal fédéral 6B_626/2010 du 25 novembre 2010 consid. 2.2). Il est d'ailleurs fréquent que, dans les délits de nature sexuelle, il n'y ait pas d'autres témoins que la victime elle-même (arrêts du Tribunal fédéral 1P.677/2003 du 19 août 2004 consid. 3.3; 1A.170/2001 du 18 février 2002 consid. 3.4.1). Encore faut-il que les dires de la victime apparaissent crédibles et qu'ils emportent la conviction du juge (arrêt du Tribunal fédéral 1A.170/2001 du 18 février 2002 consid. 3.4.1). Les cas de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(arrêt du Tribunal fédéral 6B_717/2020 du 26 novembre 2020, consid. 2.1.1).</w:t>
      </w:r>
    </w:p>
    <w:p>
      <w:r>
        <w:rPr>
          <w:b/>
        </w:rPr>
        <w:t>E. 1.3</w:t>
      </w:r>
    </w:p>
    <w:p>
      <w:r>
        <w:t>Dans plusieurs arrêts rendus en matière d'agression sexuelle, le Tribunal fédéral a confirmé qu'il était raisonnable de se baser sur un faisceau d'indices convergents et que, dans les cas où aucun témoignage n'était à disposition, il fallait notamment examiner les versions opposées des parties et les éventuels indices venant les corroborer, cela sans préjudice du principe in dubio pro reo (arrêts du Tribunal fédéral 6B_1088/2009 du 25 janvier 2010 ; 6B_307/2008 du 24 octobre 2008; 6P.91/2004 - 6S.255/2004 du 29 septembre 2004). Un ou plusieurs arguments corroboratifs peuvent demeurer fragiles si la solution retenue peut être justifiée de façon soutenable par un ou plusieurs arguments de nature à emporter la conviction (ATF 129 I 8 consid. 2.1; arrêts du Tribunal fédéral 6B_109/2014 du 25 septembre 2014 consid. 2.1; 6B_398/2013 du 11 juillet 2013 consid. 2.1; 6B_642/2012 du 22 janvier 2013 consid. 1.1).</w:t>
      </w:r>
    </w:p>
    <w:p>
      <w:r>
        <w:rPr>
          <w:b/>
        </w:rPr>
        <w:t>E. 2</w:t>
      </w:r>
    </w:p>
    <w:p>
      <w:r>
        <w:t>2.1.1. A teneur de l'art. 187 ch. 1 CP,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 Le bien juridique protégé est le développement du mineur, et non la liberté sexuelle que protègent les articles 189 à 194 CP, de sorte qu'il importe peu que le mineur soit consentant ou pas. Il convient de souligner que cette infraction ne protège pas seulement</w:t>
      </w:r>
    </w:p>
    <w:p>
      <w:r>
        <w:t>- 14 -</w:t>
      </w:r>
    </w:p>
    <w:p>
      <w:r>
        <w:t>P/2215/2021</w:t>
      </w:r>
    </w:p>
    <w:p>
      <w:r>
        <w:t>le développement sexuel de l'enfant, mais aussi son développement complet (DUPUIS et al., Petit commentaire du Code pénal, 2ème éd., 2017, n. 2 ad art. 187 CP). Définissant une infraction de mise en danger abstraite, cette disposition n'exige pas que la victime ait été effectivement mise en danger ou perturbée dans son développement (arrêts du Tribunal fédéral 6B_404/2018 du 19 juillet 2018 consid. 1.1; 6B_103/2011 du</w:t>
      </w:r>
    </w:p>
    <w:p>
      <w:r>
        <w:rPr>
          <w:b/>
        </w:rPr>
        <w:t>E. 6</w:t>
      </w:r>
    </w:p>
    <w:p>
      <w:r>
        <w:t>Les objets figurant sous chiffres 1, 2 et 3 de l'inventaire n° 29953620210222 seront restitués au prévenu.</w:t>
      </w:r>
    </w:p>
    <w:p>
      <w:r>
        <w:rPr>
          <w:b/>
        </w:rPr>
        <w:t>E. 7</w:t>
      </w:r>
    </w:p>
    <w:p>
      <w:r>
        <w:t>Vu l’issue du litige, les frais seront laissés à la charge de l’Etat (art. 423 al. 1 CPP).</w:t>
      </w:r>
    </w:p>
    <w:p>
      <w:r>
        <w:rPr>
          <w:b/>
        </w:rPr>
        <w:t>E. 8</w:t>
      </w:r>
    </w:p>
    <w:p>
      <w:r>
        <w:t>Le défenseur d’office sera indemnisé (art.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