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JTDP/1365/2021 vom 5. November 2021</w:t>
      </w:r>
    </w:p>
    <w:p>
      <w:r>
        <w:t>GE Cour de justice, 2021-11-05, FR</w:t>
      </w:r>
    </w:p>
    <w:p>
      <w:r>
        <w:rPr>
          <w:b/>
        </w:rPr>
        <w:t xml:space="preserve">Quelle: </w:t>
      </w:r>
      <w:r>
        <w:t>https://mcp.opencaselaw.ch/entscheid/ge_gerichte_JTDP_1365_2021</w:t>
      </w:r>
    </w:p>
    <w:p>
      <w:r>
        <w:t>FR: GE_GERICHTE JTDP/1365/2021 du 5 novembre 2021</w:t>
      </w:r>
    </w:p>
    <w:p>
      <w:r>
        <w:t>IT: GE_GERICHTE JTDP/1365/2021 del 5 novembre 2021</w:t>
      </w:r>
    </w:p>
    <w:p>
      <w:pPr>
        <w:pStyle w:val="Heading2"/>
      </w:pPr>
      <w:r>
        <w:t>Erwägungen</w:t>
      </w:r>
    </w:p>
    <w:p>
      <w:r>
        <w:rPr>
          <w:b/>
        </w:rPr>
        <w:t>E. 5</w:t>
      </w:r>
    </w:p>
    <w:p>
      <w:r>
        <w:t>Conformément à l'art. 2 al. 2 CP, lorsque la loi est modifiée, le juge applique, en principe, la loi en vigueur au moment où l'acte a été commis, à moins que la nouvelle loi ne soit plus favorable à l'auteur. Le nouveau droit des sanctions est entré en vigueur le 1er janvier 2018 (RO 2016 1249). L'ancien droit, qui prévoyait le plafond de la peine pécuniaire à 360 jours-amende (art. 34 al. 1 aCP), est plus favorable que le nouveau droit, qui a rabaissé ce plafond à 180 jours (art. 34 al. 1 CP). Il doit être appliqué. Selon la jurisprudence, jusqu'au maximum de 360 jours (art. 34 al. 1 CP), le juge a le choix entre les peines privatives de liberté et pécuniaire. Le principe de proportionnalité lui impose d'examiner si la seconde ne permet pas de sanctionner de manière équivalente la culpabilité du recourant, auquel cas, il doit, en principe, lui accorder la priorité (ATF 134 IV 97, consid. 4.2.2; 134 IV 82, consid. 4.1; 134 IV 60, consid. 4.3).</w:t>
      </w:r>
    </w:p>
    <w:p>
      <w:r>
        <w:t>- 23 - P/11681/2017 6.1.1.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La faute est l'élément principal à prendre en considération dans le cadre de la fixation de la sanction. 6.1.2.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Selon le nouveau droit, le sursis est la règle dont on ne peut s'écarter qu'en présence d'un pronostic concrètement défavorable. Il prime en cas d'incertitude (ATF 134 IV 5, consid. 4.2.2). 6.2. En l'espèce, la faute de X______ est importante. Il a commis par un seul acte deux infractions, portant ainsi atteinte à la confiance que l'on doit pouvoir donner à un notaire ainsi qu'à l'intérêt de l'Etat à une bonne administration et au bon fonctionnement de l'autorité publique. Il a gravement failli à ses devoirs. Du fait du serment professionnel de notaire qu'il a prêté, X______ aurait dû conserver une distance et un esprit critique envers ses clients habituels, même si ces derniers représentaient pour lui une source de revenus confortable. Il a agi pour ne pas déplaire à de bons clients, mais aussi afin que la promotion W______ se concrétise. En cela, son mobile n'est pas égoïste. La période pénale est brève. La situation personnelle de X______ ne justifie pas ses agissements, bien au contraire. Il était associé dans une Etude de notaires depuis de nombreuses années et bénéficiait donc d'une solide expérience professionnelle. En outre, il avait, au moment des faits, un</w:t>
      </w:r>
    </w:p>
    <w:p>
      <w:r>
        <w:t>- 24 - P/11681/2017 âge auquel on doit être en mesure de résister aux demandes illicites venant de ses clients, et cela même s'il s'agit de clients importants. Il avait toute la latitude nécessaire pour refuser d'instrumenter un acte falsifié et ainsi éviter de soustraire à l'autorité une somme soumise à un séquestre pénal. Il a commis les faits dont il est question en 2017, alors même qu'il avait été mis en prévention en 2014 dans le volet AE______, et il savait pertinemment que U______ et V______ revêtaient également la qualité de prévenus dans la même procédure, éléments qui auraient dû le pousser à faire preuve d'une prudence accrue. Il y a concours d'infractions, ce qui justifie l'augmentation de la peine dans une juste proportion. La collaboration de X______ a été sans particularité. Il n'a pas manifesté de repentir, mais il a admis à demi-mots qu'il aurait dû agir autrement et, à tout le moins, se renseigner, ce qui laisse espérer une ébauche de prise de conscience. Il n'a pas d'antécédent judiciaire, facteur neutre s'agissant de la fixation de la peine. La peine sera fixée en prenant en compte l'infraction objectivement la plus grave, soit le faux dans les titres commis dans l'exercice de fonctions publiques, et sera augmentée dans une juste proportion s'agissant de l'infraction de soustraction d'objets mis sous main de l'autorité. Au vu de l'ensemble des motifs qui précèdent, X______ sera condamné à une peine pécuniaire de 270 jours-amende à CHF 400.- l'unité (soit une peine de base de 180 jours-amende, augmentée à 270 jours-amende). Le sursis, dont il remplit les conditions, lui sera octroyé et le délai d'épreuve sera fixé à 2 ans vu notamment l'ancienneté des faits. Conclusions civiles 7.1. En qualité de partie plaignante, le lésé peut faire valoir des conclusions civiles déduites de l'infraction par adhésion à la procédure pénale (art. 122 al. 1 CPP). En vertu de l'art. 126 CPP, le Tribunal statue également sur les conclusions civiles présentées lorsqu'il rend un verdict de culpabilité à l'encontre du prévenu (let. a). 7.2. Vu l'acquittement de X______ s'agissant du volet "AE______", auquel se rapportent les conclusions civiles de E______, F______ ainsi que K______ et L______, ils en seront déboutés. Restitutions 8.1.1.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- 25 - P/11681/2017 La confiscation n'est pas prononcée lorsqu'un tiers a acquis les valeurs dans l'ignorance des faits qui l'auraient justifiée, et cela dans la mesure où il a fourni une contre- prestation adéquate ou si la confiscation se révèle d'une rigueur excessive (al. 2).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du Tribunal fédéral 1B_22/2017 du 24 mars 2017, consid. 3.1; 1B_222/2015 du 10 novembre 2015,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du Tribunal fédéral 1B_22/2017 du 24 mars 2017, consid. 3.1; 1B_222/2015 du 10 novembre 2015, consid. 2.1). 8.1.2.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CP ne sont pas réalisées (art. 71 al. 1 CP). 8.2. En l'espèce, il est établi (point n.d. supra) que Q______ et O______ ont reçu des montants qui ont été soustraits à un séquestre pénal et qui sont donc le produit de l'infraction à l'art. 289 CP (consid. 4.2.2 supra). Se pose donc la question de savoir si les montants en question doivent être confisqués ou faire l'objet d'une créance compensatrice. Aucun élément objectif du dossier ne permet de retenir que Q______ et O______, pour AJ______, n'ont pas offert une contreprestation adéquate en regard du montant de leurs honoraires.</w:t>
      </w:r>
    </w:p>
    <w:p>
      <w:r>
        <w:t>- 26 - P/11681/2017 S'agissant de la condition de la bonne foi, sur la base des éléments établis (point o.e. supra), il ne peut pas être retenu que Q______ et O______ avaient connaissance de la commission d'une infraction, ni même qu'ils avaient eu des indices sérieux de la commission d'une infraction et du fait que le paiement de leur commission était le produit d'une telle infraction. Ils ont certes établi des factures à destination de AD______ ainsi qu'un faux accord de commissionnement d'apporteur d'affaire – lequel ne représente toutefois pas un faux dans les titres – car cela était nécessaire au paiement de la commission par AD______, mais ces éléments ne permettent pas encore d'établir qu'ils avaient connaissance de l'infraction à l'art. 289 CP commise par X______. Q______ et O______, pour AJ______, sont donc des tiers de bonne foi au sens de l'art. 70 al. 2 CP. Par conséquent, l'ensemble des séquestres les concernant seront levés et aucune créance compensatrice ne sera ordonnée. Frais et indemnités 9.1.1. Le prévenu supporte les frais de procédure s'il est condamné (art. 426 al. 1 CPP). A teneur de l'art. 426 al. 2 CPP, même lorsque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arrêt du Tribunal fédéral 6B_1268/2018 du 15 février 2019, consid. 4.1). 9.1.2. L'art. 8 de la Loi genevoise sur le notariat du 25 novembre 1988 (RS GE E 6 05), intitulé "Information des parties", dispose que le notaire a un devoir de conseil à l'égard des parties, et que ces dernières ont droit à l'information nécessaire sur la nature, la forme, la signification, la portée juridique, notamment les conséquences fiscales probables et le coût des actes signés par elles. D'après la jurisprudence du Tribunal fédéral, lorsque le législateur fédéral soumet la validité d'un acte juridique à l'observation de la forme authentique, il le fait essentiellement dans le but de protéger les parties contre des décisions irréfléchies. Le notaire est dès lors tenu, en vertu du droit fédéral, de renseigner les parties sur les aspects formels et matériels importants de l'acte (arrêt du Tribunal fédéral 6B_530/2008 du 8 janvier 2009, consid. 3.1 et 3.2). Entre le notaire et les parties à l'acte authentique, il existe un rapport de confiance particulier. Le notaire est tenu non seulement d'une obligation de renseigner, mais encore d'un devoir d'impartialité, qui lui impose de veiller avec le même soin à la sauvegarde des intérêts de toutes les parties. De telles obligations dispensent les parties,</w:t>
      </w:r>
    </w:p>
    <w:p>
      <w:r>
        <w:t>- 27 - P/11681/2017 à plus forte raison lorsqu'elles ne sont pas juristes, de vérifier par leurs propres moyens si le notaire leur a bien donné des renseignements exacts et s'il n'a pas omis de leur dire quelque chose d'important pour leur affaire (arrêt du Tribunal fédéral 6B_530/2008, consid. 3.4). Enfin, en rapport avec l'art. 317 CP, la doctrine ajoute que le notaire occupe « une position exposée » requérant une conduite irrépréhensible, impartiale, rigoureuse et professionnelle, et qu'il a en particulier pour devoir de sauvegarder les intérêts en cause. 9.2.1. En l'espèce, X______ est acquitté de l'infraction pénale reprochée pour les faits liés au volet "AE______". Cela étant, en se contentant de suivre aveuglement les instructions données par U______ et V______, sans aucun esprit critique ni analyse des tableaux remis, alors même qu'il était mandaté et rémunéré par les acheteurs des villas et qu'il avait ainsi des devoirs à leur égard, il n'a rien entrepris pour être en mesure de donner des explications complètes aux acheteurs et, par-là, assurer leurs intérêts. En ce qui concerne les importantes différences de prix des terrains de plusieurs villas ayant des surfaces identiques, il incombait à X______ de se poser des questions et d'interroger U______ et V______. De même, il aurait dû leur demander des explications sur le fait que certains acheteurs se voyaient facturer une commission de courtage et d'autres pas, alors que les prix de la parcelle et du contrat d'entreprise générale devaient être identiques. Le tableau en question, au sujet duquel il ne s'est posé aucune question, est pourtant incompréhensible, et s'il avait demandé des explications, il aurait pu se rendre compte du stratagème mis en place par les promoteurs. X______, notaire au bénéfice d'une formation juridique complète, est rompu aux affaires immobilières dès lors qu'une part importante de son activité est consacrée à l'instrumentation d'actes immobiliers. Il devait être d'autant plus prudent et attentif que le projet était soumis au contrôle de l'Etat. En agissant de la sorte, X______ a ainsi adopté un comportement gravement contraire à ses obligations de notaire, telles qu'elles résultent de la loi et de la jurisprudence. Son comportement professionnellement blâmable et fautif a provoqué l'ouverture de la procédure pénale à son égard s'agissant du volet "AE______". Par conséquent, il sera condamné au paiement de la totalité des frais de procédure le concernant, soit les deux tiers. 9.2.2. Quant à Y______, entièrement acquitté, il ne peut pas être retenu qu'il aurait provoqué l'ouverture de la procédure pénale dirigée contre lui ou qu'il en aurait entravé le cours, de sorte que le solde des frais (un tiers) sera laissé à la charge de l'Etat 10.1.1. Selon l'art. 429 al. 1 let. a CPP, le prévenu qui est au bénéfice d'une ordonnance de classement ou qui est acquitté totalement ou en partie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w:t>
      </w:r>
    </w:p>
    <w:p>
      <w:r>
        <w:t>- 28 - P/11681/2017 particulièrement grave à sa personnalité, notamment en cas de privation de liberté (let. c). L'évaluation du dommage économique (let. b) se fait au moyen des règles établies en matière de responsabilité civile. Le dommage subi peut être la conséquence de certaines mesures de contrainte ou découler de la procédure pénale dans son ensemble; il peut découler de la perte d'un emploi. La preuve du lien de causalité entre la procédure pénale et le dommage économique ne doit pas être soumise à des exigences trop élevées et se limite à la haute vraisemblance (Commentaire romand du Code de procédure pénale, n. 41 ad art. 429 CPP). S'agissant du tort moral subi (let. c), la procédure pénale doit avoir entraîné une atteinte d'une certaine intensité aux droits de la personnalité du prévenu. Si le prévenu n'a pas été privé de sa liberté, un courant jurisprudentiel et doctrinal semble partir de l'idée que le tort moral n'est dû qu'en présence de circonstances exceptionnelles (Commentaire romand du Code de procédure pénale, n. 47sv. ad art. 429 CPP). Il n'y a pas lieu de prendre en compte les désagréments inhérents à toute poursuite pénale comme la charge psychique que celle-ci est censée entraîner normalement chez une personne mise en cause (ATF 143 IV 339, consid. 3.1; arrêt du Tribunal fédéral 6B_928/2014, du 10 mars 2016 consid. 5.1). 10.1.2. L'autorité pénale peut réduire ou refuser l'indemnité lorsque le prévenu a provoqué illicitement et fautivement l'ouverture de la procédure pénale ou a rendu plus difficile la conduite de celle-ci (art. 430 al. 1 let. a CPP). L'art. 430 al. 1 let. a CPP est le pendant de l'art. 426 al. 2 CPP en matière de frais. La question de l'indemnisation doit être traitée après celle des frais. Dans cette mesure, la décision sur les frais préjuge de la question de l'indemnisation. Ainsi, si le prévenu supporte les frais en application de l'art. 426 al. 1 ou 2 CPP, une indemnité est en règle générale exclue (ATF 137 IV 352, consid. 2.4.2; arrêts du Tribunal fédéral 6B_1258/2018 du 24 janvier 2019, consid. 3.1; 6B_474/2018 du 17 décembre 2018, consid. 2.2; 6B_472/2018 du 22 août 2018, consid. 1.1). 10.2.1. Vu la décision de mettre l'entier des frais de procédure le concernant à sa charge, corollairement, X______ sera débouté de ses conclusions en indemnisation. 10.2.2. En ce qui concerne Y______, il sera indemnisé pour les dépenses occasionnées par l'exercice raisonnable de ses droits de procédure, à l'exception de l'activité relative aux démarches auprès de la FINMA, sans rapport avec la présente procédure. Le dommage subi par Y______ en lien avec la perte de son emploi est sans aucun doute possible lié à sa mise en prévention. Il sera ainsi également indemnisé pour ce poste et recevra un montant équivalent à la perte de salaire et de cotisations LPP, déduction faite des indemnités de chômage perçues, sous réserve de la somme de CHF 714.-, non documentée. Il sera au surplus débouté pour ses conclusions en allocation d'un tort moral supplémentaire, le tort subi n'apparaissant pas d'une intensité supérieure aux</w:t>
      </w:r>
    </w:p>
    <w:p>
      <w:r>
        <w:t>- 29 - P/11681/2017 désagréments inhérents à toute poursuite pénale, et n'ayant par ailleurs pas été établi par pièces. 11.1.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si les prétentions civiles sont admises et/ou lorsque le prévenu est condamné. 11.2. En l'espèce, X______ a été acquitté s'agissant du volet "AE______", soit les faits concernant les parties plaignantes, mais a été condamné au paiement des frais, tel que développé au point 9.2.1 supra. Cependant, son comportement, certes professionnellement blâmable et fautif, ne le rend pas pour autant responsable du dommage subi par les parties plaignantes, qu'elles ont fait valoir en vain dans ladite procédure. Ainsi, il n'a pas à être condamné au paiement d'une indemnité pour les dépenses obligatoires occasionnées à ces dernières par la procédure. Les parties plaignantes seront donc déboutées de leurs conclusions basées sur l'art. 433 CPP. 12.1. L'art. 434 CPP prévoit que les tiers qui, par le fait de la procédure ou du fait de l'aide apportée aux autorités pénales, subissent un dommage ont droit à une juste compensation si le dommage n'est pas couvert d'une autre manière, ainsi qu'à une réparation du tort moral. Le tiers est soumis aux mêmes exigences procédurales que la partie plaignante, l'art. 433 al. 2 CPP s'appliquant par analogie (renvoi de l'art. 434 al. 1 in fine CPP). Il devra donc faire valoir ses prétentions devant l'autorité, les chiffrer et les documenter, faute de quoi son droit à une réparation sera périmé (arrêt du Tribunal fédéral 6B_1360/2016 du</w:t>
      </w:r>
    </w:p>
    <w:p>
      <w:r>
        <w:rPr>
          <w:b/>
        </w:rPr>
        <w:t>E. 10</w:t>
      </w:r>
    </w:p>
    <w:p>
      <w:r>
        <w:t>novembre 2017, consid. 5.2.2). 12.2. En l'espèce, O______ et P______ ont conclu au paiement d'une indemnité fondée sur l'art. 434 CPP, dont ils ont laissé le montant à l'appréciation du Tribunal. Ils n'ont donc ni chiffré, ni documenté leurs prétentions. Par conséquent, vu le défaut de motivation, dites conclusions en indemnisation seront rejetées. Inventaires</w:t>
      </w:r>
    </w:p>
    <w:p>
      <w:r>
        <w:rPr>
          <w:b/>
        </w:rPr>
        <w:t>E. 13</w:t>
      </w:r>
    </w:p>
    <w:p>
      <w:r>
        <w:t>Outre les séquestres déjà ordonnés (consid. 8.2 supra), les objets figurant aux chiffres 1 à 3 de l'inventaire du 7 juillet 2017 (J-210'211) seront restitués à X______, et les objets figurant aux chiffres 1 à 5 de l'inventaire du 22 juin 2017 (J-800'000) à la AQ______ (art. 267 al. 1 et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