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JTDP/130/2025 vom 4. Februar 2025</w:t>
      </w:r>
    </w:p>
    <w:p>
      <w:r>
        <w:t>GE Cour de justice, 2025-02-04, FR</w:t>
      </w:r>
    </w:p>
    <w:p>
      <w:r>
        <w:rPr>
          <w:b/>
        </w:rPr>
        <w:t xml:space="preserve">Quelle: </w:t>
      </w:r>
      <w:r>
        <w:t>https://mcp.opencaselaw.ch/entscheid/ge_gerichte_JTDP_130_2025</w:t>
      </w:r>
    </w:p>
    <w:p>
      <w:r>
        <w:t>FR: GE_GERICHTE JTDP/130/2025 du 4 février 2025</w:t>
      </w:r>
    </w:p>
    <w:p>
      <w:r>
        <w:t>IT: GE_GERICHTE JTDP/130/2025 del 4 febbraio 2025</w:t>
      </w:r>
    </w:p>
    <w:p>
      <w:pPr>
        <w:pStyle w:val="Heading2"/>
      </w:pPr>
      <w:r>
        <w:t>Erwägungen</w:t>
      </w:r>
    </w:p>
    <w:p>
      <w:r>
        <w:rPr>
          <w:b/>
        </w:rPr>
        <w:t>E. 1</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2.1.1.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(art. 173 ch. 1 CP).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128 IV 53 consid. 1a). Il n'est pas nécessaire que l'auteur ait affirmé des faits qui rendent méprisable la personne visée, il suffit qu'il ait jeté sur elle le soupçon d'avoir eu un comportement contraire aux règles de l'honneur ou qu'il propage de telles accusations ou de tels soupçons (ATF 117 IV 27 consid. 2c). Il peut être réalisé sous n'importe quelle forme: verbalement, par écrit, par l'image, ou le geste, ou par tout autre moyen (arrêt du Tribunal fédéral 6S.368/2000 du 4 décembre 2000 consid. 2a). Toute critique ou appréciation négative d'une personne n'est pas de nature à porter une atteinte pénale à son honneur. L'atteinte doit revêtir une certaine gravité, dépassant ce qui est socialement acceptable. Le caractère véridique ou pas d'une assertion n'est par ailleurs pas pertinent pour apprécier son éventuel caractère attentatoire à l'honneur, mais permettra uniquement de qualifier l'infraction de diffamation ou de calomnie ou de déterminer si la preuve libératoire au sens de l'art. 173 al. 2 et 3 CP a été apportée (MAZOU &amp; RIEBEN, CR-CP II, Bâle, 2017, n. 15, Introduction aux art. 173-178 CP).</w:t>
      </w:r>
    </w:p>
    <w:p>
      <w:r>
        <w:t>- 15 -</w:t>
      </w:r>
    </w:p>
    <w:p>
      <w:r>
        <w:t>P/19564/2021</w:t>
      </w:r>
    </w:p>
    <w:p>
      <w:r>
        <w:t>Le fait d'accuser une personne d'avoir commis un crime ou un délit intentionnel entre dans les cas visés par l'art. 173 ch. 1 CP (ATF 132 IV 112; 118 IV 248 consid. 2b; CORBOZ, Les infractions en droit suisse, vol. I, n. 6 ad art. 173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arrêt du Tribunal fédéral 6B_498/2012 du 14 février 2013 consid. 5.3.2). S'agissant d'un texte, il doit être analysé non seulement en fonction des expressions utilisées, prises séparément, mais aussi selon le sens général qui se dégage du texte dans son ensemble (ATF 128 IV 53 consid. 1a et les arrêts cités). Le Tribunal fédéral applique largement la notion de tiers (ATF 86 IV 209). L'infraction de diffamation est intentionnelle. L'intention de l'auteur doit porter sur tous ses éléments constitutifs objectifs et celui-ci doit être conscient du caractère attentatoire à l'honneur de son allégation, le dol éventuel étant suffisant (DUPUIS et al., Petit Commentaire du Code pénal, Bâle, 2012, n. 21 et 22 ad art. 173 CP). Il n'est pas nécessaire qu'il ait voulu blesser la personne visée ou causer une atteinte à sa réputation (ATF 119 IV 47 consid. 2a). Il importe peu qu'il ait tenu le fait attentatoire à l'honneur pour vrai ou qu'il ait eu ou exprimé des doutes (ATF 102 IV 185). 2.1.2. L'auteur n'encourt aucune peine s'il prouve que les allégations qu'il a articulées ou propagées sont conformes à la vérité ou qu'il a des raisons sérieuses de les tenir de bonne foi pour vraies (art. 173 ch. 2 CP). La preuve de la vérité est apportée lorsque les allégations attentatoires à l'honneur correspondent, pour l'essentiel, à la vérité (ATF 71 IV 187 consid. 2 p. 188; arrêts du Tribunal fédéral 6B_333/2008 du 9 mars 2009 consid. 1.3. et 6B_461/2008 du 4 septembre 2008 consid. 3.3.2.). L'accusé qui allègue la commission d'une infraction doit en principe apporter la preuve de la vérité par la condamnation pénale de la personne visée (ATF 116 IV 31 consid. 4; 106 IV 115 consid. 2c). Cette condamnation peut être postérieure à l'allégation incriminée (ATF 122 IV 311 consid. 2e), une exception étant admise si la poursuite de l'infraction alléguée n'est plus possible en raison de la prescription (ATF 109 IV 36 consid. 3b) ou si elle a été suspendue jusqu'à droit connu sur l'action en diffamation (ATF 132 IV 112 consid. 4.3). L'auteur est de bonne foi s'il a cru à la véracité de ce qu'il disait. Il résulte de l'art.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w:t>
      </w:r>
    </w:p>
    <w:p>
      <w:r>
        <w:t>- 16 -</w:t>
      </w:r>
    </w:p>
    <w:p>
      <w:r>
        <w:t>P/19564/2021</w:t>
      </w:r>
    </w:p>
    <w:p>
      <w:r>
        <w:t>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(arrêt du Tribunal fédéral 6B_974/2018 du Tribunal fédéral du 20 décembre 2018 consid. 2.2. et les références citées). Lorsqu'il n'avait que des raisons sérieuses de soupçonner, l'auteur ne doit pas avoir affirmé (CORBOZ, Les principales infractions, 3e éd. 2010, vol. I, n. 86 ad art. 173 CP).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arrêt du Tribunal fédéral 6B_632/2015 du 9 octobre 2015 consid. 1). Plus l'allégation est préjudiciable ou invraisemblable, plus les exigences quant à la crédibilité des sources et aux mesures de vérification à prendre sont élevées. Les exigences sont notamment accrues lorsque les allégations sont publiquement formulées ou largement diffusées, d'autant plus en l'absence d'intérêt public (DUPUIS et al., op. cit., n. 38 ad art. 173 CP).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L'admission à la preuve libératoire constitue la règle. Elle ne peut être refusée que si deux conditions sont réunies cumulativement : l'auteur a agi principalement dans le but de dire du mal d'autrui et il s'est exprimé sans motif suffisant (arrêt du Tribunal fédéral 6B_334/2018 du 28 juin 2018 consid. 1.2). 2.2.1. En l'espèce, X______ conteste les faits reprochés. Elle admet avoir été en possession du mémorandum ainsi que du courriel de K______, qu'elle a au demeurant produit spontanément à la police et au Ministère public, mais conteste avoir été en possession du fichier PDF du profil TWITTER de la plaignante et d'en être l'auteure, expliquant qu'un "hackeur" avait placé ce fichier dans son ordinateur.</w:t>
      </w:r>
    </w:p>
    <w:p>
      <w:r>
        <w:t>- 17 -</w:t>
      </w:r>
    </w:p>
    <w:p>
      <w:r>
        <w:t>P/19564/2021</w:t>
      </w:r>
    </w:p>
    <w:p>
      <w:r>
        <w:t>Les explications de la prévenue n'emportent pas conviction. En effet, ce n'est qu'une fois son ordinateur saisi par la police, que X______ a expliqué avoir été victime d'un "hacking" sur ce dernier. De plus, la version selon laquelle un "hackeur" aurait introduit dans son ordinateur uniquement le fichier PDF du profil TWITTER de la plaignante ne parait pas crédible. En effet, il ressort de la procédure que différentes versions du document relatif au profil TWITTER de la plaignante ont été créées, respectivement modifiées les 9, 11 et 15 septembre 2021, soit quelques jours avant le 17 septembre 2021, date de l'envoi du courriel litigieux. Ceci implique qu'un "hackeur" se serait introduit à plusieurs reprises dans l'ordinateur de la prévenue (pour enregistrer, créer et modifier ces documents avant de les envoyer), ce qui est peu crédible et que la prévenue n'a pas su expliquer. X______ n'a pas non plus étayé ses déclarations sur un éventuel "hacking" d'autres documents. Enfin, elle n'a pas déposé de plainte pénale ou entrepris une quelconque autre démarche pour signaler ces faits. Par ailleurs, ses explications relatives au "hacking" de son compte Gmail ne paraissent pas davantage crédibles. Tout d'abord, les courriels litigieux ont été envoyés à B______ le 17 septembre 2021 depuis l'adresse électronique "J______@protonmail.com", laquelle avait été créée deux jours auparavant, soit le 15 septembre 2021. Ce compte a comme adresse de récupération "R______@protonmail.com", qui elle-même a comme adresse de récupération l'adresse électronique privée de la prévenue "X______@gmail.com". X______ n'explique pas en quoi le "hacking" de son compte Gmail aurait permis le placement de document(s) dans son ordinateur et l'envoi des courriers et courriels litigieux. Or, quand bien même son compte Gmail aurait été "hacké", cela n'explique pas les données présentes sur son ordinateur ni l'envoi du courriel à la direction de B______ le 17 septembre 2021 depuis l'adresse "J______@protonmail.com". De plus, la prévenue a affirmé avoir été victime de "hacking" non pas en 2021 mais en 2017, soit quatre ans avant les faits reprochés. L'hypothèse selon laquelle elle aurait été victime d'une fuite de ses données au sein de le Q______[organisation internationale] n'emporte pas non plus la conviction du Tribunal. Outre le fait qu'elle ait dénoncé ces faits au mois de juin 2024, soit des années après que la fuite ait eu lieu, la prévenue n'apporte aucune indication sur les raisons pour lesquelles cette fuite serait en corrélation avec la présente procédure. Au contraire, elle explique que suite à cette fuite elle a subi des répercussions dans sa procédure de divorce. Compte tenu de ce qui précède, le Tribunal a acquis la conviction que la prévenue est bien l'auteure des courriers et des courriels envoyés à B______. Les propos contenus dans les pièces transmises par courrier et courriels aux 15 membres du conseil d'administration ainsi qu'à I______ et H______ de B______ sont objectivement attentatoires à l'honneur, dans la mesure où ils font apparaître la plaignante comme ayant tenu une conduite contraire à l'honneur en détournant les fonds de son ancien employeur et en adoptant un comportement inapproprié avec E______. Ainsi, ces</w:t>
      </w:r>
    </w:p>
    <w:p>
      <w:r>
        <w:t>- 18 -</w:t>
      </w:r>
    </w:p>
    <w:p>
      <w:r>
        <w:t>P/19564/2021</w:t>
      </w:r>
    </w:p>
    <w:p>
      <w:r>
        <w:t>propos sont propres à atteindre la plaignante dans sa réputation et son sentiment d'être une personne honorable qui se comporte comme une personne digne de confiance. L'élément subjectif est réalisé, dans la mesure où la prévenue ne pouvait qu'avoir conscience, à tout le moins sous la forme du dol éventuel, du caractère attentatoire à l'honneur des documents transmis. 2.2.2. S'agissant de l'admissibilité à effectuer les preuves libératoires, il est manifeste, aux yeux du Tribunal, que les pièces litigieuses ont été diffusées par la prévenue à des tiers sans égard à l'intérêt public et sans autre motif suffisant. X______, qui ne travaillait pas au sein de B______, a principalement agi dans le dessein de dire du mal de la plaignante et pour lui nuire, probablement parce qu'elle lui en voulait d'entretenir une liaison avec son mari. La prévenue ne sera donc pas admise à faire les preuves de la vérité ou de la bonne foi. Compte tenu de ce qui précède, la prévenue sera reconnue coupable de diffamation au sens de l'art. 173 ch. 1 CP. Peine 3.1.1 D'après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3.1.2. Sauf disposition contraire, la peine pécuniaire est de trois jours-amende au moins et ne peut excéder 180 jours-amende. Le juge fixe leur nombre en fonction de la culpabilité de l'auteur (art. 34 al. 1 CP). En règle générale, le jour-amende est de 30 francs au moins et de 3000 francs au plus. Le juge peut exceptionnellement, lorsque la situation personnelle et économique de l'auteur le justifie, réduire le montant du jour-amende à concurrence d'un minimum de 10 francs. Il peut dépasser le montant maximal du jour- 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 (art. 34 al. 2 CP). Le jugement indique le nombre et le montant des jours-amende (art. 34 al. 4 CP). 3.1.3. Le juge suspend en règle générale l'exécution d'une peine pécuniaire ou d'une peine privative de liberté de deux ans au plus lorsqu'une peine ferme ne paraît pas nécessaire pour détourner l'auteur d'autres crimes ou délits (art. 42 al. 1 CP).</w:t>
      </w:r>
    </w:p>
    <w:p>
      <w:r>
        <w:t>- 19 -</w:t>
      </w:r>
    </w:p>
    <w:p>
      <w:r>
        <w:t>P/19564/2021</w:t>
      </w:r>
    </w:p>
    <w:p>
      <w:r>
        <w:t>Si le juge suspend totalement ou partiellement l'exécution d'une peine, il impartit au condamné un délai d'épreuve de deux à cinq ans (art. 44 al. 1 CP). Le juge explique au condamné la portée et les conséquences du sursis ou du sursis partiel à l'exécution de la peine (art. 44 al. 3 CP). 3.1.4. Le juge peut prononcer, en plus d'une peine avec sursis, une amende conformément à l'art. 106 CP (art. 34 al. 4 CP). Sauf disposition contraire de la loi, le montant maximum de l'amende est de 10 000 francs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3.2. En l'espèce, la faute de la prévenue n'est pas anodine. Elle a porté atteinte à l'honneur de la plaignante dans le seul but de lui nuire, soit pour des motifs égoïstes. La collaboration et la prise de conscience de la prévenue sont mauvaises, cette dernière persistant à contester les faits, à l'appui de déclarations variantes, malgré la présence au dossier d'éléments matériels à charge. La situation personnelle de la prévenue n'explique pas et n'excuse nullement ses actes. Sa responsabilité est pleine et entière. Elle n'a pas d'antécédent judiciaire, ce qui constitue un facteur neutre sur la peine. Compte tenu de ce qui précède, la prévenue sera condamnée à une peine pécuniaire de 60 jours-amende à CHF 150.- le jour, eu égard à sa situation financière. La prévenue sera mise au bénéfice du sursis, dont elle remplit les conditions et le délai d'épreuve sera fixé à 3 ans. Le prononcé d'une amende à titre de sanction immédiate ne se justifie pas, de sorte qu'il y sera renoncé. Inventaire 4.1. Si le motif du séquestre disparaît, le Ministère public ou le tribunal lève la mesure et restitue les objets et valeurs patrimoniales à l'ayant droit (art. 267 al. 1 CPP). La restitution à l'ayant droit des objets et des valeurs patrimoniales séquestrés qui n'ont pas été libérés auparavant, leur utilisation pour couvrir les frais ou leur confiscation sont statuées dans la décision finale (art. 267 al. 3 CPP).</w:t>
      </w:r>
    </w:p>
    <w:p>
      <w:r>
        <w:t>- 20 -</w:t>
      </w:r>
    </w:p>
    <w:p>
      <w:r>
        <w:t>P/19564/2021</w:t>
      </w:r>
    </w:p>
    <w:p>
      <w:r>
        <w:t>4.2. En l'espèce, les captures d'écran figurant sous chiffre 2 de l'inventaire n° 37927620221122 seront restitués à la prévenue. L'ordinateur figurant sous chiffre 1 de l'inventaire n° 37927620221122 a déjà été restitué à la prévenue. Conclusions civiles 5.1.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les moyens de preuves qu'elle entend invoquer (art. 123 al. 1 CPP). Le calcul et la motivation des conclusions civiles doivent être présentés dans le délai fixé par la direction de la procédure conformément à l'art. 331 al. 2 CPP (art. 123 al. 2 CPP). Le tribunal saisi de la cause pénale juge les conclusions civiles indépendamment de leur valeur litigieuse (art. 124 al. 1 CPP). Le prévenu doit pouvoir s'exprimer sur les conclusions civiles, au plus tard lors des débats de première instance (art. 124 al. 2 CPP). Le tribunal statue sur les conclusions civiles présentées lorsqu'il rend un verdict de culpabilité à l'encontre du prévenu (art. 126 al. 1 let. a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(ATF 148 IV 432 consid. 3.1.2; 143 IV 495 consid. 2.2.4 p. 499). La notion de conclusions civiles ne vise pas toutes les prétentions de droit privé, mais uniquement celles qui peuvent se déduire d'une infraction, ce qui n'est pas le cas des prétentions contractuelles (ATF 148 IV 432 consid. 3.3). 5.2. En l'espèce, quand bien même il apparait évident que les agissements de la prévenue aient pu l'affecter, la plaignante a toutefois expliqué avoir également été profondément touchée par d'autres faits, en particulier ceux qui ont eu lieu au sein de C______[organisation internationale], avec lesquels la prévenue n'a rien à voir. Il n'est dès lors pas possible de déterminer dans quelle proportion les faits de la présente procédure ont atteint A______. Cette dernière n'a de surcroît pas produit de pièces attestant du tort moral subi et des conséquences sur sa personne. Dès lors, elle sera déboutée de ses conclusions en réparation du tort moral.</w:t>
      </w:r>
    </w:p>
    <w:p>
      <w:r>
        <w:t>Indemnisation et frais</w:t>
      </w:r>
    </w:p>
    <w:p>
      <w:r>
        <w:t>- 21 -</w:t>
      </w:r>
    </w:p>
    <w:p>
      <w:r>
        <w:t>P/19564/2021</w:t>
      </w:r>
    </w:p>
    <w:p>
      <w:r>
        <w:t>6.1.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(art. 429 al. 1 let. a CPP). Le prévenu a également le droit, s'il est acquitté totalement ou en partie ou s'il bénéficie d'une ordonnance de classement, à une réparation du tort moral subi en raison d'une atteinte particulièrement grave à sa personnalité, notamment en cas de privation de liberté (art. 429 al. 1 let. c CPP). 6.2. En l'espèce, vu le verdict de culpabilité, les conclusions en indemnisation de la prévenue seront rejetées. 7.1.1. A teneur de l'art. 433 CPP, la partie plaignante peut demander au prévenu une juste indemnité pour les dépenses obligatoires occasionnées par la procédure si elle obtient gain de cause, si le prévenu est astreint au paiement des frais conformément à l'art. 426 al. 2 (al. 1). La partie plaignante adresse ses prétentions à l'autorité pénale ; elle doit les chiffrer et les justifier. Si elle ne s'acquitte pas de cette obligation, l'autorité pénale n'entre pas en matière sur la demande (al. 2). 7.1.2.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7.2. En l'espèce, la condamnation prononcée à l'encontre de X______ et la mise à sa charge des frais de la procédure (cf. infra 8.) ouvrent la voie à l'indemnisation de la partie plaignante en rapport avec ses frais de défense. A______ a réclamé à ce titre la somme de CHF 19'201.-, correspondant à 45h35 de travail, dans une période comprise entre le 4 mars 2022 et le 13 janvier 2025. L'activité déployée est disproportionnée par rapport à la complexité limitée de la procédure, au volume minime de l'instruction et aux enjeux modestes. Les prétentions en indemnisation de A______ seront ainsi réduites. Statuant ex aequo et bono, le Tribunal considère que l'indemnité correspondant à une activité raisonnable déployée par le Conseil de la partie plaignante doit être fixée à CHF 10'000.-. 8. La prévenue sera condamnée aux frais de la procédure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