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JTDP/1262/2018 vom 4. Oktober 2018</w:t>
      </w:r>
    </w:p>
    <w:p>
      <w:r>
        <w:t>GE Cour de justice, 2018-10-04, FR</w:t>
      </w:r>
    </w:p>
    <w:p>
      <w:r>
        <w:rPr>
          <w:b/>
        </w:rPr>
        <w:t xml:space="preserve">Quelle: </w:t>
      </w:r>
      <w:r>
        <w:t>https://mcp.opencaselaw.ch/entscheid/ge_gerichte_JTDP_1262_2018</w:t>
      </w:r>
    </w:p>
    <w:p>
      <w:r>
        <w:t>FR: GE_GERICHTE JTDP/1262/2018 du 4 octobre 2018</w:t>
      </w:r>
    </w:p>
    <w:p>
      <w:r>
        <w:t>IT: GE_GERICHTE JTDP/1262/2018 del 4 ottobre 2018</w:t>
      </w:r>
    </w:p>
    <w:p>
      <w:pPr>
        <w:pStyle w:val="Heading2"/>
      </w:pPr>
      <w:r>
        <w:t>Erwägungen</w:t>
      </w:r>
    </w:p>
    <w:p>
      <w:r>
        <w:rPr>
          <w:b/>
        </w:rPr>
        <w:t>E. 23</w:t>
      </w:r>
    </w:p>
    <w:p>
      <w:r>
        <w:t>mars 2014, 16 avril 2014 et 7 mai 2014, effectué des dépassements, respectivement, de 40 km/h, 26 km/h et 38 km/h (marge de sécurité de 5 km/h déduite), alors que la vitesse était limitée à 50 km/h sur les tronçons concernés. Ces trois dépassements de vitesse constituent des cas objectivement graves au sens de l'art. 90 al. 2 LCR. Le prévenu sera donc reconnu coupable de violation grave des règles de la circulation routière au sens de l'art. 90 al. 2 LCR.</w:t>
      </w:r>
    </w:p>
    <w:p>
      <w:r>
        <w:t>- 7 - P/4031/2014 1.2.2. Le prévenu a également circulé au volant de sa voiture alors qu'il faisait l'objet d'une interdiction de conduire pour une durée indéterminée, minimum deux ans, depuis le 13 février 2013. L'intéressé a néanmoins allégué ne pas avoir reçu la décision en question, dont la date coïncidait avec une période de déménagement. La Direction générale des véhicules a, quant à elle, considéré la notification valable, dès lors que le pli recommandé adressé au prévenu ne lui avait pas été retourné par la poste. Le Tribunal retient toutefois qu'il ne peut, sur cette seule base, être considéré comme établi à satisfaction de droit que la décision d'interdiction de conduire du 13 février 2013 a dûment été notifiée au prévenu, de sorte qu'il sera acquitté au bénéfice du doute, s'agissant des infractions de conduite sans autorisation au sens de l'art. 95 al. 1 lit. b LCR constatées les 23 mars 2014, 16 avril 2014, 7 mai 2014 et 11 mai 2014. 1.2.3. Il sera néanmoins reconnu coupable d'infraction à l'art. 95 al. 1 lit. b LCR pour les faits du 30 août 2012, le prévenu ayant circulé en Suisse alors qu'il faisait l'objet d'une interdiction de conduire pour une durée de 12 mois, depuis le 25 novembre 2011, ce qu'il savait. En effet, l'intéressé a admis, lors de l'audience par-devant le Ministère public, avoir fait l'objet d'une telle décision en 2012. 1.2.4. S'agissant des faits du 11 mai 2014, il est établi à teneur du dossier, que le prévenu a conduit son véhicule à Genève en état d'ébriété. Le contrôle à l'éthylomètre pratiqué par les policiers sur celui-ci a révélé une alcoolémie de 1.27 mg/l à 07h30 et de 1.33 mg/l à 07h40. Les analyses toxicologiques effectuées ultérieurement ont confirmé que la concentration d'éthanol dans le sang de l'intéressé, le soir des faits à 07h27, se situait entre 1,52 et 2,06 g/kg. Partant, le prévenu sera reconnu coupable de conduite en état d'ébriété qualifiée au sens de l'art. 91 al. 2 let. a LCR.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w:t>
      </w:r>
    </w:p>
    <w:p>
      <w:r>
        <w:t>- 8 - P/4031/2014 de récidive, etc.), la vulnérabilité face à la peine, de même que le comportement après l'acte et au cours de la procédure pénale (ATF 141 IV 61 consid. 6.1.1 ; ATF 136 IV 55 consid. 5 ; ATF 134 IV 17 consid. 2.1 ; ATF 129 IV 6 consid. 6.1 ).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 2.1.2. Conformément à l'art. 34 aCP,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2.1.3. Selon l’art. 46 al. 1 CP, 1ère phrase,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CP, 1ère phrase).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2.2. En l'espèce, la faute du prévenu est importante. Il a mis en danger les autres usagers de la route par plusieurs dépassements de vitesse puis par une conduite en état d'ébriété qualifié. Il a en outre fait fi des décisions de l'autorité puisqu'il a persisté à conduire alors qu'il savait ne pas en avoir le droit. La collaboration du prévenu est mauvaise. Il n'a aucunement contribué à l'établissement des faits. La prise de conscience de la gravité de ses agissements fait défaut, l'intéressé n'ayant pas exprimé de regrets. Il y a concours entre de multiples infractions, certaines étant en outre commises à réitérées reprises. Au vu de son antécédent spécifique, du nombre de commission d'excès de vitesse, et d'une conduite en état d'ébriété, l'intensité de sa volonté délictuelle est marquée. Il a agi par pure convenance personnelle, sa situation n'expliquant pas ses agissements.</w:t>
      </w:r>
    </w:p>
    <w:p>
      <w:r>
        <w:t>- 9 - P/4031/2014 Au vu de ce qui précède, le prévenu sera condamné à une peine pécuniaire de 280 jours- amende, à CHF 30.- le jour, conformément à sa situation patrimoniale. Le sursis ne lui sera pas octroyé pour cette peine, et le précédent sursis, octroyé le 11 mai 2012 par le Ministère public de Genève, sera révoqué, le pronostic étant défavorable. 3. Enfin, les frais de la procédure, y compris un émolument de jugement de CHF 300.- fixé en application du règlement genevois fixant le tarif des frais en matière pénale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