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JTDP/1193/2022 vom 28. September 2022</w:t>
      </w:r>
    </w:p>
    <w:p>
      <w:r>
        <w:t>GE Cour de justice, 2022-09-28, FR</w:t>
      </w:r>
    </w:p>
    <w:p>
      <w:r>
        <w:rPr>
          <w:b/>
        </w:rPr>
        <w:t xml:space="preserve">Quelle: </w:t>
      </w:r>
      <w:r>
        <w:t>https://mcp.opencaselaw.ch/entscheid/ge_gerichte_JTDP_1193_2022</w:t>
      </w:r>
    </w:p>
    <w:p>
      <w:r>
        <w:t>FR: GE_GERICHTE JTDP/1193/2022 du 28 septembre 2022</w:t>
      </w:r>
    </w:p>
    <w:p>
      <w:r>
        <w:t>IT: GE_GERICHTE JTDP/1193/2022 del 28 settembre 2022</w:t>
      </w:r>
    </w:p>
    <w:p>
      <w:pPr>
        <w:pStyle w:val="Heading2"/>
      </w:pPr>
      <w:r>
        <w:t>Erwägungen</w:t>
      </w:r>
    </w:p>
    <w:p>
      <w:r>
        <w:rPr>
          <w:b/>
        </w:rPr>
        <w:t>E. 16</w:t>
      </w:r>
    </w:p>
    <w:p>
      <w:r>
        <w:t>février 2010, consid. 3.1). 2.1.3. Selon l'art. 57 OCR, le conducteur doit s'assurer que le véhicule et son chargement répondent aux prescriptions et qu’il dispose des accessoires nécessaires tels</w:t>
      </w:r>
    </w:p>
    <w:p>
      <w:r>
        <w:t>- 6 - P/20058/2021 que le signal de panne (al. 1). Les plaques de contrôle, les disques de vitesse maximale et les autres signes semblables doivent être bien lisibles; les dispositifs d’éclairage, les catadioptres, les glaces et les miroirs rétroviseurs doivent être propres. Le chargement, les porte-charges, les engins de travail et objets similaires ne doivent masquer ni les plaques de contrôle ni les dispositifs d’éclairage (al. 2). 2.1.4. A teneur de l'art. 58 OETV, les roues doivent être munies de pneumatiques, ou d'autres bandages d'une élasticité semblable, d'une capacité de charge suffisante et adaptés aux jantes (al. 1). La toile des pneumatiques ne doit être ni abîmée ni apparente. Les pneumatiques doivent présenter un profil d'au moins 1,6 mm sur toute la surface de la bande de roulement (al. 4). 2.1.5. L’art. 67 OETV dispose que les véhicules ne doivent présenter aucune pointe tranchante ou arrête vive, ni aucune saillie ou ouverture qui augmente le risque de blessures en cas de collision. Cette règle s'applique à la fois à l'habitacle, pour la protection des passagers, et à l'extérieur du véhicule, notamment pour la protection des piétons ou des usagers des deux-roues. Les composants des véhicules, notamment les rétroviseurs, les dispositifs d'éclairage, les charnières et les poignées de portes doivent être conçus, fixés ou protégés de manière à réduire au maximum le risque de blesser les passagers et les usagers de la route en cas d'accident. Les composants inutiles et dangereux, notamment à l'extérieur du véhicule, sont interdits. 2.1.6. Aux termes de l'art. 71a OETV, lorsque ses yeux sont à une hauteur de 0,75 m au-dessus du siège, le conducteur doit pouvoir observer sans difficulté la chaussée à l’extérieur d’un demi-cercle de 12,00 m de rayon (al. 1). Toutes les vitres des compartiments occupés par le conducteur et les passagers doivent être en verre de sécurité ou en une matière similaire ne pouvant causer des blessures importantes en cas de bris (al. 2). En cas de bris, les pare-brises doivent offrir une visibilité suffisante au conducteur (al. 3). 2.1.7. Selon l'art. 73 al. 1 OETV, les dispositifs d’éclairage doivent être fixés solidement. Ils doivent être protégés contre l’eau et la poussière par un verre ou une matière synthétique indéformable, difficilement inflammable et ne perdant pas ses qualités de transparence. Si les feux sont colorés, la couleur doit être durable. En l’absence de prescriptions spéciales, les propriétés photométriques (comme l’intensité lumineuse, la couleur ou la surface lumineuse visible) d’un dispositif d’éclairage ne doivent pas être modifiées intentionnellement pendant le fonctionnement de ce dernier. Les sources lumineuses remplaçables doivent être conformes aux prescriptions internationales. 2.1.8. A teneur de l'art. 75 al. 5 OETV, l’éclairage de la plaque de contrôle arrière doit être aussi uniforme que possible sur toute la surface de celle-ci et permettre de la déchiffrer facilement à une distance de 20 m au moins, de nuit par temps clair. Aucune lumière directe ne doit être visible de l’arrière. La disposition de l’art. 73 al. 2 concernant la position symétrique dans l’axe longitudinal du véhicule n’est pas applicable. Selon l'art. 109 al. 1 let. b OETV, feux arrière, deux catadioptres, deux feux- stop, ainsi qu’un éclairage pour la plaque de contrôle doivent être fixés à l’arrière.</w:t>
      </w:r>
    </w:p>
    <w:p>
      <w:r>
        <w:t>- 7 - P/20058/2021 2.1.9. Selon l'art. 77 al. 1 OETV, les feux de recul ne doivent pas être éblouissants; ils doivent éclairer seulement les alentours immédiats à l’arrière du véhicule. S’ils ne produisent pas une lumière diffuse, le centre de leur faisceau lumineux doit atteindre le sol à une distance de 15 m au plus. Les feux de recul supplémentaires selon l’art. 110 al. 2 let. f, et l’art. 193 al. 1 let q peuvent aussi éclairer les alentours immédiats latéraux du véhicule. Les feux de recul doivent s’éteindre lorsque le véhicule avance ou que l’allumage a été coupé ou encore, sur les véhicules sans allumage électrique, lorsque le contact principal est coupé ou que les feux de route et de croisement sont éteints. 2.1.10. Aux termes de l'art. 109 al. 2 OETV, deux feux de route, deux feux de croisement et deux feux de position, doivent être fixés à l’avant (let. a) et deux feux arrière, deux catadioptres, deux feux-stop, ainsi qu’un éclairage pour la plaque de contrôle doivent être fixés à l'arrière du véhicule (let. b). 2.1.11. Selon l'art. 112 al. OETV, les voitures automobiles doivent être munies, à gauche et à droite, extérieurement, d’un rétroviseur permettant au conducteur d’observer facilement la chaussée sur les côtés de la carrosserie et sur une distance de 100 m au minimum vers l’arrière. Selon l'al. 3, les rétroviseurs doivent être fixés de manière à vibrer le moins possible et à refléter une image non déformée. La surface du miroir doit atteindre au moins 70 cm2 sur les voitures automobiles légères; sur les voitures automobiles lourdes, elle doit être de 150 cm2 au moins pour les miroirs convexes et de 300 cm2 au moins pour ceux dont la surface est plane. Le rayon de courbure des miroirs convexes ne doit pas être inférieur à 0,80 m. 2.1.12. L’art. 219 OETV précise qu’est réputé non conforme à la présente ordonnance, ce qui rend applicable l'art. 93 al. 2 LCR, le véhicule dont les composants prescrits en permanence, à titre temporaire ou dans certains cas, ne répondent pas aux exigences ou manquent (let. a), est équipé de composants interdits en permanence ou à titre temporaire (let. b), dont les composants non réceptionnés ont été montés sans l'autorisation nécessaire (let. c). Il punit de l'amende, si aucune peine plus sévère n'est applicable, quiconque modifie illicitement un véhicule (let. a) et, en qualité de détenteur, n'annonce pas les modifications qu'il est tenu de notifier (let. f). 2.2. En l'espèce, il ressort du rapport de police et des photographies figurant au dossier qu'A______ circulait au volant du véhicule automobile Renault immatriculé F/1______ au nom du prévenu, qui présentait les défectuosités techniques précitées. Dans son courrier d'opposition, le prévenu ne conteste pas les faits. Il a seulement indiqué qu'il ne se sentait pas responsable des faits d'autrui. Contrairement à ce qu'allègue le prévenu, le fait d'être détenteur d'un véhicule et de tolérer l'usage de son véhicule est constitutif de violation de l'art. 93 al. 2 let. b LCR. Les faits reprochés sont ainsi établis et le prévenu sera reconnu coupable de mise à disposition d'un véhicule dans un état défectueux, constitutif d'infraction aux art. 29, 93 al. 2 let. b LCR cum: - art. 58 OETV: véhicule automobile dont un pneu est dans un état insuffisant;</w:t>
      </w:r>
    </w:p>
    <w:p>
      <w:r>
        <w:t>- 8 - P/20058/2021 - art. 73 OETV: véhicule automobile présentant un bloc optique mal fixé et/ou ne présentant pas une étanchéité suffisante (à deux reprises); - art. 67 et 219 OETV: véhicule automobile présentant des parties saillantes qui augmentent le risque de blessures en cas de collision, notamment avec des piétons ou des usagers de deux-roues; - art. 71a et 219 OETV: pare-brise défectueux ou n'offrant pas une visibilité suffisante au conducteur; - art. 112 et 219 OETV: véhicule automobile présentant un rétroviseur non conforme, défectueux ou manquant; - art. 73, 75, 109 et 219 OETV: véhicule automobile présentant un éclairage de la plaque de contrôle non conforme, défectueux ou manquant; - art. 73, 77 et 219 OETV: véhicule automobile présentant un feu de recul non conforme, défectueux ou manquant; et - art. 57 OCR: ne pas respecter les règles de sécurité garantissant le bon fonctionnement du véhicule qui incombent au conducteur. 3.1. La peine prévue par l'art. 93 al. 2 let. b LCR est une amende.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3.2. En l'espèce, la situation financière du prévenu n'étant pas établie, il n'y a pas lieu de s'écarter de l'amende fixée par le Service des contraventions. Il sera ainsi condamné à une amende de CHF 1'880.-, assortie d'une peine privative de liberté de substitution de 18 jours. 4. Le prévenu sera en outre condamné aux frais de la procédure, qui seront arrêtés à CHF 564.-, y compris un émolument de jugement de CHF 300.- (art. 426 al. 1 CPP).</w:t>
      </w:r>
    </w:p>
    <w:p>
      <w:r>
        <w:t>PAR CES MOTIFS, LE TRIBUNAL DE POLICE statuant par défaut: Déclare X______ coupable d'infraction aux art. 29, 93 LCR, 58 al. 5 OCR, 58 al. 4, 67, 71A, 73, 75, 77, 109, 110, 112, 140, 141, 165, 219 OETV. Condamne X______ à une amende de CHF 1'880.- (art. 106 CP).</w:t>
      </w:r>
    </w:p>
    <w:p>
      <w:r>
        <w:t>- 9 - P/20058/2021 Prononce une peine privative de liberté de substitution de 18 jours. Dit que la peine privative de liberté de substitution sera mise à exécution si, de manière fautive, l'amende n'est pas payée. Condamne X______ aux frais de la procédure, qui s'élèvent à CHF 564.-, y compris un émolument de jugement de CHF 300.- (art. 426 al. 1 CPP). Ordonne la communication du présent jugement aux autorités suivantes : Office cantonal de la population et des migrations,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Meliza KRENZI</w:t>
      </w:r>
    </w:p>
    <w:p>
      <w:r>
        <w:t>La Présidente</w:t>
      </w:r>
    </w:p>
    <w:p>
      <w:r>
        <w:t>Alexandra JACQUEMET</w:t>
      </w:r>
    </w:p>
    <w:p>
      <w:r>
        <w:t>Voies de recours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a fait défaut aux débats sans excuse valable (art. 368 CPP). La personne condamnée peut également faire une déclaration d'appel en adressant une déclaration écrite respectant les conditions légales à la Chambre pénale d'appel et de révision, Place du Bourg-de-Four 1, case postale 3108, CH-1211 Genève 3, dans les 20 jours à compter de la notification du jugement motivé (art. 371 al. 1, 399 al. 3 et 4 CPP). Un appel n'est recevable que si la demande de nouveau jugement a été rejetée (art. 371 al. 2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w:t>
      </w:r>
    </w:p>
    <w:p>
      <w:r>
        <w:t>- 10 - P/20058/2021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de l'ordonnance pénale du Service des contraventions CHF</w:t>
      </w:r>
    </w:p>
    <w:p>
      <w:r>
        <w:t>150.00 Convocations devant le Tribunal CHF 30.00 Frais postaux (convocation) CHF 10.00 Emolument de jugement CHF 300.00 Etat de frais CHF 50.00 Frais postaux (notification) CHF 24.00 Total CHF 564.00</w:t>
      </w:r>
    </w:p>
    <w:p>
      <w:r>
        <w:t>========== Emolument de jugement complémentaire CHF</w:t>
      </w:r>
    </w:p>
    <w:p>
      <w:r>
        <w:t>========== Total des frais CHF</w:t>
      </w:r>
    </w:p>
    <w:p>
      <w:r>
        <w:t>Notification par voie postale à X______ Notification par voie postale au Service des contraventions Notification par voie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