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JTDP/1148/2025 vom 26. September 2025</w:t>
      </w:r>
    </w:p>
    <w:p>
      <w:r>
        <w:t>GE Cour de justice, 2025-09-26, FR</w:t>
      </w:r>
    </w:p>
    <w:p>
      <w:r>
        <w:rPr>
          <w:b/>
        </w:rPr>
        <w:t xml:space="preserve">Quelle: </w:t>
      </w:r>
      <w:r>
        <w:t>https://mcp.opencaselaw.ch/entscheid/ge_gerichte_JTDP_1148_2025</w:t>
      </w:r>
    </w:p>
    <w:p>
      <w:r>
        <w:t>FR: GE_GERICHTE JTDP/1148/2025 du 26 septembre 2025</w:t>
      </w:r>
    </w:p>
    <w:p>
      <w:r>
        <w:t>IT: GE_GERICHTE JTDP/1148/2025 del 26 settembre 2025</w:t>
      </w:r>
    </w:p>
    <w:p>
      <w:pPr>
        <w:pStyle w:val="Heading2"/>
      </w:pPr>
      <w:r>
        <w:t>Erwägungen</w:t>
      </w:r>
    </w:p>
    <w:p>
      <w:r>
        <w:rPr>
          <w:b/>
        </w:rPr>
        <w:t>E. 1.1</w:t>
      </w:r>
    </w:p>
    <w:p>
      <w:r>
        <w:t>Selon l'art. 2 al. 1 CP, la loi pénale ne s'applique qu'aux faits commis après son entrée en vigueur. En vertu de l'art. 2 al. 2 CP, une loi nouvelle s'applique aux faits qui lui sont antérieurs si, d'une part, l'auteur est mis en jugement après son entrée en vigueur et si, d'autre part, elle est plus favorable à l'auteur que l'ancienne (exception de la "lex mitior"). En principe la loi en vigueur au moment où l'acte a été commis est applicable, à moins que la nouvelle loi ne soit plus favorable à l'auteur (ATF 134 IV 82 consid. 6.1; arrêt du Tribunal fédéral 6B_782/2022 du 17 avril 2023 consid. 3.2).</w:t>
      </w:r>
    </w:p>
    <w:p>
      <w:r>
        <w:rPr>
          <w:b/>
        </w:rPr>
        <w:t>E. 1.2</w:t>
      </w:r>
    </w:p>
    <w:p>
      <w:r>
        <w:t>En l'occurrence, les faits reprochés au prévenu qualifiés de contrainte sexuelle se sont déroulés avant le 1er juillet 2024, date d'entrée en vigueur de la loi fédérale du 16 juin 2023 portant révision du droit pénal en matière sexuelle (RO 2024 27), laquelle a élargi la notion de contrainte sexuelle en Suisse. Dans la mesure où l'ancien droit est plus favorable au prévenu, il en sera donc fait application.</w:t>
      </w:r>
    </w:p>
    <w:p>
      <w:r>
        <w:rPr>
          <w:b/>
        </w:rPr>
        <w:t>E. 2</w:t>
      </w:r>
    </w:p>
    <w:p>
      <w:r>
        <w:t>2.1.1. La présomption d'innocence, garantie par les art. 10 CPP, 32 al. 1 Cst., 14 §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(arrêt du Tribunal fédéral 7B_26/2023 du 28 août 2024 consid. 2.1.3 et les références citées)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w:t>
      </w:r>
    </w:p>
    <w:p>
      <w:r>
        <w:t>- 12 -</w:t>
      </w:r>
    </w:p>
    <w:p>
      <w:r>
        <w:t>P/26812/2022</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(arrêt du Tribunal fédéral 6B_416/2025 du 12 septembre 2025 consid. 1.1.4 et les références citées). 2.1.3. L'art. 189 aCP (dans sa version en vigueur jusqu'au 30 juin 2024),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aCP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L'art. 189 CP ne protège des atteintes à la libre détermination en matière sexuelle que pour autant que l'auteur surmonte ou déjoue la résistance que l'on pouvait raisonnablement attendre de la victime (arrêt 6B_416/2025 précité consid. 3.2 et les références citées). S'agissant des moyens employés pour contraindre la victime, la disposition précitée mentionne notamment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(arrêt 6B_416/2025 précité consid. 3.3 et les références citées).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w:t>
      </w:r>
    </w:p>
    <w:p>
      <w:r>
        <w:t>- 13 -</w:t>
      </w:r>
    </w:p>
    <w:p>
      <w:r>
        <w:t>P/26812/2022</w:t>
      </w:r>
    </w:p>
    <w:p>
      <w:r>
        <w:t>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Des baisers insistants sur la bouche, de même qu'une caresse insistante du sexe, des fesses ou des seins, même par-dessus les habits, constituent un acte d'ordre sexuel. L'attouchement sexuel est une notion subsidiaire par rapport à l'acte d'ordre sexuel et vise un contact rapide, par surprise avec le corps d'autrui. Il faut cependant que l'acte ait objectivement une connotation sexuelle (arrêt 6B_416/2025 précité consid. 3.4 et les références citées).</w:t>
      </w:r>
    </w:p>
    <w:p>
      <w:r>
        <w:rPr>
          <w:b/>
        </w:rPr>
        <w:t>E. 2.2</w:t>
      </w:r>
    </w:p>
    <w:p>
      <w:r>
        <w:t>En l’espèce, le prévenu a, dans un premier temps, malaxé les seins de la partie plaignante en glissant une main sous son soutien-gorge puis, alors que celle-ci exprimait verbalement son refus, pleurait, se débattait et tentait de le repousser, il a introduit un doigt dans son anus tout en la maintenant de l’autre main. Il a ensuite saisi sa tête pour l’obliger à lui prodiguer une fellation, imposant un mouvement de va-et-vient avec son pénis dans sa bouche. Ces actes, qui présentent un caractère sexuel manifeste, ont été imposés à la plaignante par une contrainte physique directe. L’usage de la force pour la maîtriser, combiné à sa résistance active, démontrent également une absence de consentement – ce que le prévenu ne pouvait ignorer. Les éléments constitutifs de l’infraction de contrainte sexuelle au sens de l’art. 189 al. 1 aCP sont dès lors réunis, tant sous l’angle objectif que subjectif, de sorte que le prévenu en sera reconnu coupable.</w:t>
      </w:r>
    </w:p>
    <w:p>
      <w:r>
        <w:rPr>
          <w:b/>
        </w:rPr>
        <w:t>E. 3.1</w:t>
      </w:r>
    </w:p>
    <w:p>
      <w:r>
        <w:t>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(ATF 135 I 265 consid. 4.4). Une violation du principe de célérité conduit, le plus souvent, à une réduction de peine, parfois à l'exemption de toute peine et, en ultima ratio, dans les cas extrêmes, au classement de la procédure (ATF 143 IV 373 consid. 1.4.1). Une simple constatation de cette violation ainsi que la mise à la charge de l'Etat des frais de justice peuvent également suffire (ATF 147 I 259 consid. 1.3.3; 138 II 513 consid. 6.5; 136 I 274 consid. 2.3).</w:t>
      </w:r>
    </w:p>
    <w:p>
      <w:r>
        <w:rPr>
          <w:b/>
        </w:rPr>
        <w:t>E. 3.2</w:t>
      </w:r>
    </w:p>
    <w:p>
      <w:r>
        <w:t>En l'occurrence, aucun acte d'instruction n'a eu lieu entre le mandat d'acte d'enquête du 17 avril 2023, chargeant la police d'entendre les deux témoins I______ et H______, auditionnées au mois de mai 2023, et la demande de copie du dossier TPAE de la partie plaignante le 4 octobre 2024, soit une période d'inactivité injustifiée de plus d'un an. Partant, une violation du principe de célérité sera constatée, étant relevé que le simple constat de cette violation suffit à la réparer.</w:t>
      </w:r>
    </w:p>
    <w:p>
      <w:r>
        <w:rPr>
          <w:b/>
        </w:rPr>
        <w:t>E. 4.1</w:t>
      </w:r>
    </w:p>
    <w:p>
      <w:r>
        <w:t>Selon l'art. 47 CP, le juge fixe la peine d'après la culpabilité de l'auteur. Il prend en considération les antécédents et la situation personnelle de ce dernier ainsi que l'effet de</w:t>
      </w:r>
    </w:p>
    <w:p>
      <w:r>
        <w:t>- 14 -</w:t>
      </w:r>
    </w:p>
    <w:p>
      <w:r>
        <w:t>P/26812/2022</w:t>
      </w:r>
    </w:p>
    <w:p>
      <w:r>
        <w:t>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En l'espèce, la faute du prévenu est importante. Il a abusé de la naïveté et de la crédulité d'une personne souffrant de troubles psychologiques et ce, en usant de violence pour lui faire subir les actes sexuels décrits dans l'acte d'accusation. Ses agissements ont entraîné des conséquences importantes sur sa victime, laquelle a souffert psychologiquement immédiatement après les faits et souffre encore aujourd'hui des séquelles psychologiques des actes découlant du prévenu. Le prévenu a agi pour des mobiles égoïstes, soit pour assouvir ses pulsions sexuelles au mépris de l'intégrité sexuelle de sa victime. Sa collaboration à la procédure est sans particularité. Sa prise de conscience est mauvaise. Il ne manifeste aucun regret ou empathie pour la victime, ne se rend pas compte du mal causé et ne s'en excuse nullement. Sa situation personnelle n'explique en rien ses agissements. Sa responsabilité est pleine est entière. Le prévenu n'a jamais été condamné par le passé, facteur toutefois neutre sur la peine. Au vu des éléments qui précèdent, le prononcé d'une peine compatible avec le sursis complet entre en ligne de compte, un pronostic favorable pouvant encore être posé eu égard notamment à l’absence d'antécédents judiciaires du prévenu (art. 42 CP). Une peine privative de liberté de 24 mois, assortie du sursis complet, avec un délai d'épreuve de trois ans (art. 44 CP), sera ainsi prononcée.</w:t>
      </w:r>
    </w:p>
    <w:p>
      <w:r>
        <w:rPr>
          <w:b/>
        </w:rPr>
        <w:t>E. 5</w:t>
      </w:r>
    </w:p>
    <w:p>
      <w:r>
        <w:t>5.1.1. Selon l'art. 66a al. 1 let. h CP, le juge expulse de Suisse l'étranger qui est condamné pour contrainte sexuelle (art. 189),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5.1.2. Depuis le 7 mars 2023, l'inscription de l'expulsion dans le SIS est régie par le règlement (UE) n° 2018/1861 du Parlement européen et du Conseil du 28 novembre 2018 (Règlement SIS Frontières). L'art. 21 du Règlement SIS Frontières prescrit qu'avant d'introduire un signalement, l'État membre signalant vérifie si le cas est suffisamment important pour justifier cette inscription. Il ne faut pas poser d'exigences trop élevées en ce qui concerne l'hypothèse</w:t>
      </w:r>
    </w:p>
    <w:p>
      <w:r>
        <w:t>- 15 -</w:t>
      </w:r>
    </w:p>
    <w:p>
      <w:r>
        <w:t>P/26812/2022</w:t>
      </w:r>
    </w:p>
    <w:p>
      <w:r>
        <w:t>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arrêts du Tribunal fédéral 6B_479/2024 du 11 septembre 2024 consid. 2.5.3;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AARP/198/2024 du 7 juin 2024 consid. 4.1; en ce sens également : ATF 147 IV 340 consid. 4.9 ; 146 IV 172 consid. 3.2.2).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En vertu de l'art. 24 § 2 du Règlement SIS Frontières, le signalement aux fins de non- 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(arrêt du Tribunal fédéral 6B_231/2025 du 6 août 2025, consid. 3.4.1 et les références citées). Par ailleurs, le § 2 let. c du même article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5.2.1. En l'espèce, le prévenu a été reconnu coupable de contrainte sexuelle, ce qui entraine l'expulsion obligatoire, selon l'art. 66a al. 1 let. h CP. Le prévenu est de nationalité syrienne, célibataire, sans enfants, et ne dispose d'aucune attache familiale ou professionnelle significative en Suisse. Il ne parle que très peu le français, qu’il ne sait pas non plus écrire, il est au bénéfice de l’aide sociale depuis son arrivée en Suisse et n’a occupé que des emplois temporaires et discontinus depuis son arrivée en Suisse en 2015. Il n’est au bénéfice d’un permis F que depuis récemment. Ses frères et sœurs résident tous en Turquie et en Syrie. Rien n'indique qu'une expulsion de Suisse le placerait dans une situation personnelle grave, étant précisé que des membres</w:t>
      </w:r>
    </w:p>
    <w:p>
      <w:r>
        <w:t>- 16 -</w:t>
      </w:r>
    </w:p>
    <w:p>
      <w:r>
        <w:t>P/26812/2022</w:t>
      </w:r>
    </w:p>
    <w:p>
      <w:r>
        <w:t>de sa famille vivent encore en Syrie, de sorte que la clause de rigueur ne saurait trouver application. L’intérêt public à l’éloigner du territoire suisse, au regard de la gravité des faits pour lesquels il est condamné, l’emporte ainsi clairement sur son intérêt privé à y demeurer. 5.2.2. Les conditions d'un signalement dans le SIS sont également réunies. D'une part, la contrainte sexuelle pour laquelle le prévenu est condamné constitue une infraction grave passible d'une peine privative de liberté supérieure à un an et d'autre part, le comportement du prévenu, soit commettre un acte de nature sexuelle par violence contre une personne vulnérable, représente manifestement une menace pour l’ordre public. Les conséquences personnelles d’un tel signalement ne sont par ailleurs pas disproportionnées. Le prévenu n’a fait valoir aucun lien familial proche en Suisse ou dans l’espace Schengen, n’a jamais bénéficié d’un permis durable et conserve des attaches familiales en Turquie et en Syrie. Il n’a exprimé aucune volonté manifeste d’intégration durable, et sa situation ne justifie pas d’exception. Le signalement au SIS est dès lors justifié, proportionné et requis par le droit en vigueur. 5.2.3. Partant, l'expulsion du prévenu sera ordonnée pour une durée de cinq ans, assortie de son inscription dans le SIS.</w:t>
      </w:r>
    </w:p>
    <w:p>
      <w:r>
        <w:rPr>
          <w:b/>
        </w:rPr>
        <w:t>E. 6</w:t>
      </w:r>
    </w:p>
    <w:p>
      <w:r>
        <w:t>6.1.1. En qualité de partie plaignante, le lésé peut faire valoir des conclusions civiles déduites de l'infraction par adhésion à la procédure pénale (art. 122 al. 1 CPP). 6.1.2. La partie plaignante peut réclamer la réparation de son dommage (art. 41 à 46 CO) et l'indemnisation de son tort moral (art. 47 et 49 CO), dans la mesure où ceux-ci découlent directement de la commission de l'infraction reprochée au prévenu.</w:t>
      </w:r>
    </w:p>
    <w:p>
      <w:r>
        <w:rPr>
          <w:b/>
        </w:rPr>
        <w:t>E. 6.2</w:t>
      </w:r>
    </w:p>
    <w:p>
      <w:r>
        <w:t>En l’espèce, le tort causé à la plaignante est manifeste, au regard des actes dont le prévenu a été reconnu coupable. La souffrance psychique éprouvée par la victime est de surcroît confirmée par le témoignage de sa psychologue, H______, qui a attesté de son état de détresse émotionnelle durable. Au vu de la nature et de la gravité des faits, ainsi que des répercussions psychologiques constatées, une indemnisation du tort moral s’impose. Le montant de CHF 5'000.- réclamé à ce titre, que la défense elle-même qualifie de modeste (cf. également pièce 3 chargé de la défense), apparaît néanmoins pleinement proportionné à l’intensité du préjudice subi. Il sera dès lors fait droit aux conclusions civiles formées par la partie plaignante, et le prévenu sera condamné à lui verser la somme de CHF 5'000.-, avec intérêts, à titre d’indemnité pour tort moral.</w:t>
      </w:r>
    </w:p>
    <w:p>
      <w:r>
        <w:rPr>
          <w:b/>
        </w:rPr>
        <w:t>E. 7</w:t>
      </w:r>
    </w:p>
    <w:p>
      <w:r>
        <w:t>Compte tenu du verdict de culpabilité, le prévenu sera condamné aux frais de la procédure, fixés à CHF 3'309.80, y compris un émolument de jugement de CHF 1'000.- (art. 426 al. 1 CPP).</w:t>
      </w:r>
    </w:p>
    <w:p>
      <w:r>
        <w:rPr>
          <w:b/>
        </w:rPr>
        <w:t>E. 8</w:t>
      </w:r>
    </w:p>
    <w:p>
      <w:r>
        <w:t>8.1.1.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w:t>
      </w:r>
    </w:p>
    <w:p>
      <w:r>
        <w:t>- 17 -</w:t>
      </w:r>
    </w:p>
    <w:p>
      <w:r>
        <w:t>P/26812/2022</w:t>
      </w:r>
    </w:p>
    <w:p>
      <w:r>
        <w:t>8.1.2.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 du Tribunal fédéral 6B_1299/2022 du 12 juillet 2023 consid. 6.1).</w:t>
      </w:r>
    </w:p>
    <w:p>
      <w:r>
        <w:rPr>
          <w:b/>
        </w:rPr>
        <w:t>E. 8.2</w:t>
      </w:r>
    </w:p>
    <w:p>
      <w:r>
        <w:t>En l'espèce, la partie plaignante sollicite une indemnité de CHF 6’447.80 à titre de remboursement des frais d’avocat. Ce montant doit toutefois être revu à la baisse. Premièrement, 30 mn consacrées à l’activité intitulée "bordereau de pièces" seront exclues, cette tâche relevant des frais de secrétariat, déjà compris dans le tarif horaire de l’avocat. Deuxièmement, les prestations facturées entre le 23 et le 26 septembre 2025, à savoir la "relecture complète du dossier" et la "préparation de l'audience + plaidoiries" pour un total de 5 heures, apparaissent excessives lorsqu’on les cumule avec les activités similaires déjà facturées entre le 29 août et le 8 septembre 2025 (relecture du dossier, rédaction des conclusions civiles et de la requête en indemnisation), totalisant 5h30. Un ajustement de 3h30 sera donc opéré. Ainsi, un total de 4 heures sera retranché des 14h30 initialement sollicitées, ramenant le temps d'activité retenu à 10h30, auxquels s’ajoutent 2h45 d’audience, soit un total de 13h15. Sur la base d’un tarif horaire de CHF 400.-, cela correspond à un montant de CHF 5’300.- auquel s’ajoute la TVA à 8,1 % (CHF 429.30), soit un montant total de CHF 5’729.30. En conséquence, le prévenu sera condamné à verser à la partie plaignante la somme de CHF 5’629.30 à titre de juste indemnité pour les dépenses obligatoires occasionnées par la procédure.</w:t>
      </w:r>
    </w:p>
    <w:p>
      <w:r>
        <w:rPr>
          <w:b/>
        </w:rPr>
        <w:t>E. 9</w:t>
      </w:r>
    </w:p>
    <w:p>
      <w:r>
        <w:t>Le défenseur d'office sera indemnisé conformément à l'art. 135 CPP.</w:t>
      </w:r>
    </w:p>
    <w:p>
      <w:r>
        <w:t>- 18 -</w:t>
      </w:r>
    </w:p>
    <w:p>
      <w:r>
        <w:t>P/26812/2022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