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JTDP/1016/2021 vom 10. August 2021</w:t>
      </w:r>
    </w:p>
    <w:p>
      <w:r>
        <w:t>GE Cour de justice, 2021-08-10, FR</w:t>
      </w:r>
    </w:p>
    <w:p>
      <w:r>
        <w:rPr>
          <w:b/>
        </w:rPr>
        <w:t xml:space="preserve">Quelle: </w:t>
      </w:r>
      <w:r>
        <w:t>https://mcp.opencaselaw.ch/entscheid/ge_gerichte_JTDP_1016_2021</w:t>
      </w:r>
    </w:p>
    <w:p>
      <w:r>
        <w:t>FR: GE_GERICHTE JTDP/1016/2021 du 10 août 2021</w:t>
      </w:r>
    </w:p>
    <w:p>
      <w:r>
        <w:t>IT: GE_GERICHTE JTDP/1016/2021 del 10 agosto 2021</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L'art. 19 al. 1 LStup punit d'une peine privative de liberté de trois ans au plus ou d'une peine pécuniaire celui qui, sans droit, entrepose, expédie, transporte, importe,</w:t>
      </w:r>
    </w:p>
    <w:p>
      <w:r>
        <w:t>- 6 - P/6990/2021 exporte des stupéfiants ou les passe en transit (let. b) et celui qui possède, détient ou acquiert des stupéfiants ou s'en procure de toute autre manière (let. d). 2.1.2. En vertu de l'art. 19 al. 2 LStup, l'auteur sera puni d'une peine privative de liberté d'un an au moins, cette sanction pouvant être cumulée avec une peine pécuniaire, s'il sait ou ne peut ignorer que l'infraction peut directement ou indirectement mettre en danger la santé de nombreuses personnes (let. a). Selon la jurisprudence, est déterminante pour l'application de la circonstance aggravante de l'art. 19 al. 2 let. a LStup la quantité de drogue pure mettant en danger la santé de nombreuses personnes (ATF 121 IV 193 consid. 2 b/aa; Arrêt du Tribunal fédéral 6P.99/2003 du 9 décembre 2003 consid. 3.3.4). La jurisprudence retient qu'il y a cas grave lorsque le trafic porte sur 18 grammes de cocaïne pure (ATF 122 IV 360 consid. 2a ; 120 IV 334 consid. 2a). Il en découle que la pureté de la drogue doit, chaque fois que cela est possible, être déterminée par les autorités de poursuite au moyen d'une expertise appropriée. Les stupéfiants mis en circulation ne peuvent souvent pas être confisqués, raison pour laquelle une analyse est d'emblée exclue (ALBRECHT, Die Strafbestimmungen des Betäubungsmittelgesetzes (Art. 19-28 BetmG), Berne 2016, N 224 ad art. 19 LStup). Il n'est pas nécessaire de déterminer le taux de pureté lorsque la quantité détenue ou trafiquée est telle que même un taux de pureté anormalement bas permet d'aboutir à une quantité de drogue pure supérieure à 18 grammes (ATF 138 IV 100 consid. 3.5 et 3.6; CORBOZ, Les infractions en droit suisse, vol. II, Berne 2010, N 86 ad art. 19 LStup et réf. cit.). 2.2. Aux termes de l'art. 115 al. 1 let. a LEI, se rend coupable d'entrée illégale quiconque contrevient aux dispositions sur l'entrée en Suisse (art. 5). La sanction est une peine privative de liberté d'un an au plus ou d'une peine pécuniaire. Selon l'art. 5 al. 1 LEI, pour entrer en Suisse, tout étranger doit avoir une pièce de légitimation reconnue pour le passage de la frontière et être muni d'un visa si ce dernier est requise (let. a); disposer des moyens financiers nécessaires à son séjour (let. b); ne représenter aucune menace pour la sécurité et l'ordre publics ni pour les relations internationales de la Suisse (let. c); ne faire l'objet d'aucune mesure d'éloignement (let. d). 3.1. En l'espèce, il est établi par la procédure, en particulier par les constatations des gardes-frontière et de la police, par les analyses effectuées sur les stupéfiants ainsi que par les aveux du prévenu, que ce dernier a, avec conscience et volonté, transporté et importé en Suisse un total de 242.3 grammes brut, respectivement 217.5 grammes net de cocaïne d'un taux de pureté variant entre 43.6% et 44.9%, réparti en 22 ovules dissimulées dans sa cavité rectale, étant précisé que cette drogue était destinée à la vente.</w:t>
      </w:r>
    </w:p>
    <w:p>
      <w:r>
        <w:t>- 7 - P/6990/2021 Le prévenu s'est dès lors rendu coupable d'infraction à l'art. 19 al. 1 let. b et d LStup, soit les hypothèses visant le transport, l'importation et la possession de stupéfiants. Eu égard aux quantités de cocaïne en cause, dont le prévenu avait nécessairement connaissance compte tenu notamment de la méthode employée pour transporter la drogue, la circonstance aggravante prévue à l'art. 19 al. 2 let. a LStup est également réalisée. 3.2. En ce qui concerne les faits qualifiés d'entrée illégale, il est établi par la procédure que le prévenu a pénétré en Suisse le 28 mars 2021 alors qu'il faisait l'objet d'une interdiction d'entrée dans ce même pays, valable du 14 janvier 2020 au 13 janvier 2024. Il est également établi par la décision précitée, sur laquelle apparait la signature du prévenu, que ce dernier s'est bien fait remettre, en main propre, cette interdiction d'entrée, en date du 22 janvier 2020. Cela étant, il ressort de la procédure, en particulier des auditions successives du prévenu, que celui-ci ne parle pas le français, étant rappelé qu'il a systématiquement été entendu en présence d'un interprète en anglais. Or, à la lecture de la décision d'interdiction d'entrée du 14 janvier 2020, il n'apparaît pas que le contenu de cette dernière aurait été traduit au prévenu. Aussi, il existe un doute, à tout le moins raisonnable, quant au fait que le prévenu aurait compris qu'il faisait l'objet d'une mesure d'interdiction d'entrée en Suisse. En conséquence, dans la mesure où il ne peut être retenu que le prévenu avait connaissance de cette décision, il sera acquitté du chef d'entrée illégale. 4.1.1.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Bien que la récidive ne constitue plus un motif d'aggravation obligatoire de la peine (art. 67 aCP), les antécédents continuent de jouer un rôle très important dans la fixation de celle-ci (NIGGLI/WIPRÄCHTIGER, Strafprozessordnung–Jugendstrafprozessordnung, Basler Kommentar StPO/JStPO, 2ème éd., Bâle 2014, N 100 ad art. 47 CP). En général, la culpabilité de l'auteur est amplifiée du fait qu'il n'a pas tenu compte de l'avertissement constitué par la précédente condamnation, et sa rechute témoigne d'une énergie criminelle accrue (ROTH / MOREILLON (éds), Code pénal I : art. 1-100 CP, Bâle 2009, N 55 ad art. 47 CP). Une série d'infractions semblables pèse plus lourd que des</w:t>
      </w:r>
    </w:p>
    <w:p>
      <w:r>
        <w:t>- 8 - P/6990/2021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4.1.2. En matière de trafic de stupéfiants, il y a lieu de tenir compte plus spécifiquement des éléments suivants.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consid. 1.2.2 et les références citées). 4.1.3.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w:t>
      </w:r>
    </w:p>
    <w:p>
      <w:r>
        <w:t>- 9 - P/6990/2021 loi présume l'existence d'un pronostic favorable et cette présomption doit être renversée par le juge pour exclure le sursis (arrêt 6B_978/2017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juge dispose d'un large pouvoir d'appréciation dans l'émission du pronostic (arrêt du Tribunal fédéral 6B_978/2017, consid.3.2). A teneur de l'art. 43 al.1 CP, le juge peut suspendre partiellement l'exécution d'une peine privative de liberté d'un an au moins et de trois ans au plus afin de tenir compte de façon appropriée de la faute de l'auteur. 4.2. En l'espèce, la faute du prévenu est importante. Il a participé à un trafic de stupéfiants portant sur plus de 200 grammes net de cocaïne dans le cadre d'un transport international. Ses mobiles, qui relèvent uniquement de l'appât du gain au détriment de la santé publique, sont purement égoïstes. Aucun élément du dossier ne permet toutefois de douter du fait qu'il aurait officié uniquement en tant que mule au sein du trafic. Il s'agit par ailleurs d'un transport unique, soit d'une période pénale très brève. La situation personnelle du prévenu n'explique que très partiellement et n'excuse nullement ses agissements. Père de famille, il bénéficiait d'une situation administrative réglementaire en France, laquelle lui permettait d'exercer une activité lucrative dans ce pays en toute légalité. Sa collaboration a été initialement mauvaise, malgré les évidences. Elle a néanmoins connu une amélioration en cours de procédure. Sa prise de conscience apparaît seulement initiée, eu égard aux regrets manifestés durant la procédure. Cela étant, il n'a présenté aucune excuse pour son comportement et s'est lui-même positionné en victime. S'agissant de l'aide proposée pour interpeler les autres participants au trafic, le Tribunal relève qu'elle était conditionnée à sa libération par le Ministère public, de sorte qu'elle ne s'agissait nullement d'une aide désintéressée. Par ailleurs, le prévenu possède deux antécédents judiciaires, très récents et parfaitement spécifiques, en lien avec des peines privatives de liberté, ce qui témoigne de la persistance de sa volonté délictuelle.</w:t>
      </w:r>
    </w:p>
    <w:p>
      <w:r>
        <w:t>- 10 - P/6990/2021 Au vu de la peine minimale prévue par la LStup pour les cas graves, seule une peine privative de liberté entre en ligne de compte, laquelle sera fixée à 18 mois, compte tenu des éléments précités. En raison de ses deux antécédents spécifiques et récents, déjà en lien avec des peines privatives de liberté fermes, lesquels ne l'ont pas dissuadé de récidiver, et en l'absence de tout changement rendu vraisemblable dans sa situation personnelle future, le pronostic apparaît défavorable. A cet égard, le Tribunal relève, en particulier, que le prévenu était déjà père de famille à l'époque de ses deux précédentes condamnations, ce qui ne l'a pas dissuadé de réitérer ses agissements coupables. Par ailleurs, ses projets de formation, allégués lors de l'audience de jugement, apparaissent pour le moins peu concrets et peu clairs. Ils ne sont au demeurant rendus vraisemblables par aucune pièce. En conséquence, la peine privative de liberté prononcée sera entièrement ferme. 5.1.1. En vertu de l'art. 66a al. 1 CP, le juge expulse de Suisse pour une durée de cinq à quinze ans l'étranger condamné pour infraction à l'art. 19 al. 2 LStup (let. o), quelle que soit la quotité de la peine prononcée à son encontre. Il peut exceptionnellement renoncer à une expulsion lorsque celle-ci mettrait l'étranger dans une situation personnelle grave et les intérêts publics à l'expulsion ne l'emportent pas sur l'intérêt de l'étranger à demeurer en Suisse. A cet égard, il tiendra compte de la situation particulière de l'étranger qui est né ou qui a grandi en Suisse (art. 66a al. 2 CP). 5.1.2. Compte tenu du verdict de culpabilité en lien avec une infraction entrant dans le champ d'application de l'expulsion obligatoire, l'expulsion de Suisse du prévenu sera ordonnée pour une durée de 10 ans, la clause de rigueur n'étant, à l'évidence, pas réalisée dans le cas d'espèce. 5.2. Conformément à l'art. 66c al. 2 CP, la peine ferme sera exécutée avant l'expulsion. 5.3.1. Un signalement dans le système d'information Schengen (SIS) présuppose que les conditions de signalement des articles 21 et 24 du règlement SIS II soient remplies. Conformément aux articles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5.3.2. Compte tenu des attaches du prévenu avec la France, d'une importance notable, et en application du principe de proportionnalité, il sera renoncé à inscrire ladite expulsion dans le registre Schengen, une inscription limitée au sol suisse apparaissant suffisante pour préserver l'ordre public.</w:t>
      </w:r>
    </w:p>
    <w:p>
      <w:r>
        <w:t>- 11 - P/6990/2021</w:t>
      </w:r>
    </w:p>
    <w:p>
      <w:r>
        <w:rPr>
          <w:b/>
        </w:rPr>
        <w:t>E. 6</w:t>
      </w:r>
    </w:p>
    <w:p>
      <w:r>
        <w:t>Le tribunal ordonnera, par ordonnance séparée, le maintien en détention pour des motifs de sûreté de A______ (art. 231 al. 1 CPP).</w:t>
      </w:r>
    </w:p>
    <w:p>
      <w:r>
        <w:rPr>
          <w:b/>
        </w:rPr>
        <w:t>E. 7</w:t>
      </w:r>
    </w:p>
    <w:p>
      <w:r>
        <w:t>Le Tribunal ordonnera la confiscation et la destruction de la drogue et des téléphones saisis, compte tenu de l'implication du prévenu dans un trafic international de stupéfiants (art. 69 CP). 8.1. A teneur de l'art. 135 al. 1 CPP, le défenseur d'office est indemnisé conformément au tarif des avocats de la Confédération ou du canton du for du procès. 8.2. En sa qualité de défenseur d'office, le conseil de A______ se verra allouer une indemnité de CHF 5'276.-.</w:t>
      </w:r>
    </w:p>
    <w:p>
      <w:r>
        <w:rPr>
          <w:b/>
        </w:rPr>
        <w:t>E. 9</w:t>
      </w:r>
    </w:p>
    <w:p>
      <w:r>
        <w:t>Compte tenu de l'acquittement partiel, le prévenu sera condamné aux 4/5ème des frais de la procédure, qui s'élèvent au total à CHF 3'107.80, y compris un émolument de jugement de CHF 500.-, soit à CHF 2'486.25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