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JTDP/1014/2016 vom 10. Oktober 2016</w:t>
      </w:r>
    </w:p>
    <w:p>
      <w:r>
        <w:t>GE Cour de justice, 2016-10-10, FR</w:t>
      </w:r>
    </w:p>
    <w:p>
      <w:r>
        <w:rPr>
          <w:b/>
        </w:rPr>
        <w:t xml:space="preserve">Quelle: </w:t>
      </w:r>
      <w:r>
        <w:t>https://mcp.opencaselaw.ch/entscheid/ge_gerichte_JTDP_1014_2016</w:t>
      </w:r>
    </w:p>
    <w:p>
      <w:r>
        <w:t>FR: GE_GERICHTE JTDP/1014/2016 du 10 octobre 2016</w:t>
      </w:r>
    </w:p>
    <w:p>
      <w:r>
        <w:t>IT: GE_GERICHTE JTDP/1014/2016 del 10 ottobre 2016</w:t>
      </w:r>
    </w:p>
    <w:p>
      <w:pPr>
        <w:pStyle w:val="Heading2"/>
      </w:pPr>
      <w:r>
        <w:t>Erwägungen</w:t>
      </w:r>
    </w:p>
    <w:p>
      <w:r>
        <w:rPr>
          <w:b/>
        </w:rPr>
        <w:t>E. 1</w:t>
      </w:r>
    </w:p>
    <w:p>
      <w:r>
        <w:t>1.1.1. 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est toujours applicable lorsque la vitesse maximale autorisée a été dépassée d'au moins 50 km/h, là où la limite était fixée à 50 km/h (art. 90 al. 4 let. b LCR). 1.1.2. 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w:t>
      </w:r>
    </w:p>
    <w:p>
      <w:r>
        <w:t>- 6 - P/9316/2015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et les références citées). Le Tribunal fédéral a ainsi exclu le principe d'une présomption irréfragable portant sur les éléments subjectifs de l'infraction (ATF 142 IV 137 consid. 11.2 et 6B_700/2015 du 14 septembre 2016 consid. 2.2). Dans l'arrêt 6B_700/2015 précité (consid. 2.3), le Tribunal fédéral a considéré que l'autorité de dernière instance cantonale aurait dû examiner les conditions subjectives du prévenu dans la mesure où il avait effectué un dépassement de vitesse sur une zone limitée à 40 km/h sur l'autoroute et que des circonstances particulières exigeaient un examen attentif des conditions subjectives du délit de chauffard, soit notamment qu'il s'agissait d'une autoroute, qu'il est peu ordinaire que la vitesse soit limitée à 40 km/h sur une chaussée d'autoroute parfaitement aménagée et que la décision nécessaire au dérogation aux limitations générales de vitesse semblait ne pas avoir été préalablement étudiée conformément aux dispositions applicables. 1.1.3. Dans la mesure où l'auteur ne peut ignorer qu'il transgresse la norme, le dol éventuel suffit. Concrètement, et selon la jurisprudence du Tribunal fédéral, plus le risque est insensé, plus s'impose le dol éventuel. Dans cette hypothèse, le conducteur ne peut qu'envisager l'existence concrète d'un risque. Par ailleurs, dans la mesure où le législateur a érigé en infraction les comportements typiquement téméraires, il n'est plus nécessaire d'envisager le dol éventuel au titre d'une tentative de meurtre ou d'un meurtre de façon générale. Dans la mesure où l'on est en présence d'un délit non pas matériel mais formel, on pourrait admettre que là où le dol éventuel ne peut être retenu à l'encontre d'un délit, l'art. 90 al. 3 LCR vient précisément combler cette lacune. Il faut d'autre part réserver les situations dans lesquelles l'auteur a agi de façon erronée, en particulier parce qu'il n'a pas pu voir la présence d'un panneau de limitation de vitesse parce que ce dernier avait été mal mis en évidence, ou posé de façon insolite (MOREILLON, in Journée du droit de la circulation routière 26-27 juin 2014, p. 222 à 223). 1.1.4. S'agissant du principe de la lex mitior, en matière administrative, le nouveau droit ne s'applique pas aux faits antérieurs à sa mise en vigueur, sauf base légale expresse (arrêt du Tribunal fédéral 6B_1054/2009 du 20 avril 2010 consid. 2.2 et les références citées). Dans l'arrêt 123 IV 84 le Tribunal fédéral a refusé l'application de la lex mitior à un automobiliste qui avait été condamné pour dépassement de la vitesse autorisée, alors qu'au moment du jugement, la limitation de vitesse avait été levée ultérieurement par le Conseil fédéral sur le tronçon autoroutier où l'infraction avait été commise. Le Tribunal fédéral a exposé que l'idée, qui est à la base du principe de la lex mitior, est que l'acte apparaît moins répréhensible ou plus répréhensible du tout suite à la modification de conceptions</w:t>
      </w:r>
    </w:p>
    <w:p>
      <w:r>
        <w:t>- 7 - P/9316/2015 juridiques (ATF 123 IV 84 consid. 3b). La doctrine s'accorde à dire qu'il y a changement de conception si la modification de la loi est engendrée par la mutation de valeurs éthiques et non par de simples considérations pratiques (ATF 123 IV 84 consid. 3a) (arrêt du Tribunal fédéral 6B_1054/2009 du 20 avril 2010 consid. 2.3 et les références citées). Ainsi, la suppression d'une limitation de vitesse n'a pas pour conséquence qu'un excès de vitesse commis avant cette suppression ne puisse plus être sanctionné (ATF 123 IV 84 consid. 3b). 1.1.5. Selon l'art. 8 al. 1 let. a ch. 2 OOCCR-OFROU, les valeurs devant être déduites de la vitesse mesurée sont de 6 km/h pour une valeur mesurée de 101 à 150 km/h.</w:t>
      </w:r>
    </w:p>
    <w:p>
      <w:r>
        <w:rPr>
          <w:b/>
        </w:rPr>
        <w:t>E. 1.2</w:t>
      </w:r>
    </w:p>
    <w:p>
      <w:r>
        <w:t>En l'espèce, il est établi que le véhicule conduit par A______ le 17 mars 2015, à 22h29, roulait à une vitesse de 124 km/h, alors que la limitation de vitesse sur le tronçon de route était de 50 km/h, ce que celui-ci ne conteste par ailleurs pas. En l'occurrence, le dépassement de vitesse, déduction de la marge de sécurité, soit 6 km/h (conformément à l'OOCCR-OFROU et aux Directives du Département fédéral de justice et police du 22 mai 2008), est de 68 km/h. Ainsi, à teneur des règles applicables en l'espèce, soit de l'art. 90 al. 4 let. b LCR, un dépassement de plus de 50 km/h conduit objectivement à l'application de l'art. 90 al. 3 LCR. Le fait que la limitation de vitesse ait été ultérieurement modifiée et arrêtée à 60 km/h sur le tronçon dont il est question ne permet pas au prévenu de se voir appliquer la lex mitior dans la mesure où ce principe ne s'applique précisément pas dans ce cas, comme cela ressort de la jurisprudence en la matière. S'agissant de l'élément subjectif, qui doit faire l'objet d'une analyse concrète conformément à la jurisprudence du Tribunal fédéral, il convient de relever que la route empruntée par le prévenu est située en campagne et munie d'un éclairage restreint. La vitesse était clairement indiquée, le prévenu admettant qu'il savait que la route empruntée était limitée à 50 km/h. Cette limitation n'avait rien d'inhabituel, sur un tronçon d'à peine 500 mètres entre deux localités, peu importe à cet égard que les autorités aient ensuite décidé de l'augmenter à 60km/h. Le prévenu connaissait la route, dès lors qu'il habite la région depuis 2003. Le tronçon emprunté, qui possède deux voies de circulation en sens inverse, est bordé d'une piste cyclable et d'un trottoir. Par ailleurs, à l'endroit où était placé le radar mobile, se trouvent des habitations jouxtant le bord de la route dans le sens de marche du prévenu. C'est donc par un comportement téméraire, alors que le prévenu ne maîtrisait pas encore pleinement ce véhicule, dès lors qu'il a indiqué qu'il n'avait pas l'habitude de le conduire, dont il savait cependant qu'il était puissant, qu'il a décidé de rouler à 124 km/h, accélérant très rapidement, puisque le radar mobile était placé à 300 mètres après la sortie du village de Corsier. A cet égard, il a admis qu'il voulait voir ce que le véhicule "avait dans le ventre". Par ailleurs, le prévenu a expliqué qu'il avait accéléré peu après le passage pour</w:t>
      </w:r>
    </w:p>
    <w:p>
      <w:r>
        <w:t>- 8 - P/9316/2015 piétons, alors que ledit passage se situe encore à l'intérieur du village de Corsier où se trouvent plusieurs habitations des deux côtés de la chaussée. Finalement, le prévenu n'est pas crédible lorsqu'il indique ne pas s'être rendu compte qu'il roulait à la vitesse de 124 km/h, ce d'autant plus qu'il possédait son véhicule depuis plusieurs mois déjà et qu'il conduisait quotidiennement ses enfants à l'école. L'élément subjectif de l'infraction reprochée est ainsi rempli, à tout le moins par dol éventuel. Le prévenu sera donc reconnu coupable de violation fondamentale des règles de la circulation routière au sens de l'art. 90 al. 3 et al. 4 let. b LCR.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2.1.2. L'infraction à l'art. 90 al. 3 LCR est passible d'une peine privative de liberté d'un à quatre ans. Ainsi s'agissant de la peine minimale, le juge n'a aucune marge de manœuvre. Il convient en outre de noter que le message du Conseil fédéral va dans le même sens, celui-ci estimant que "les excès de vitesse particulièrement importants doivent être systématiquement considérés comme une infraction pénale qualifiée afin que la définition d'un chauffard et la peine à prononcer en conséquence ne soient pas laissées à la seule appréciation des juges" (FF 2012 5066). 2.1.3. Aux termes de l'art. 42 al. 1 CP, le juge suspend en règle générale l'exécution d'une peine pécuniaire lorsqu'une peine ferme ne paraît pas nécessaire pour détourner l'auteur d'autres crimes ou délits.</w:t>
      </w:r>
    </w:p>
    <w:p>
      <w:r>
        <w:t>- 9 - P/9316/2015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tenu compte de tous les éléments pertinents et comment ils ont été appréciés (ATF 134 IV 5 consid. 4.2.1;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5 consid. 4.4.2). 2.1.4. Selon l'art. 43 al. 1 CP, le juge peut suspendre partiellement l'exécution d'une peine pécuniaire, d'un travail d'intérêt général ou d'une peine privative de liberté d'un an au moins et de trois ans au plus afin de tenir compte de façon appropriée de la faute de l'auteur. En cas de sursis partiel à l'exécution d'une peine privative de liberté, la partie suspendue, de même que la partie à exécuter, doivent être de six mois au moins. La partie à exécuter ne peut excéder la moitié de la peine (al. 2). Les règles d'octroi de la libération conditionnelle (art. 86) ne lui sont pas applicables. (al. 3). Les conditions subjectives de l'art. 42 CP sont également valables pour l'application de l'art. 43 CP (ATF 134 IV I consid. 5.3.1). Lorsque le pronostic quant au comportement futur de l'auteur n'est pas défavorable, la loi exige que l'exécution de la peine soit au moins partiellement suspendue. En revanche un pronostic défavorable exclu également le sursis partiel. En effet, s'il n'existe aucune perspective que l'auteur puisse être influencé de quelque manière que ce soit par un sursis complet ou partiel, la peine doit être entièrement exécutée (ATF 134 IV 1 consid. 5.3 et arrêt du Tribunal fédéral 6B_232/2009 du 8 juin 2009 consid. 2.1). Lorsque la peine se situe entre un et deux ans au plus, le sursis total est la règle et le sursis partiel, l'exception. Le juge accordera le sursis partiel au lieu du sursis total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Dans ce cas, l'effet dissuasif du sursis partiel est renforcé par l'exécution de l'autre partie de la peine, ce qui permet d'envisager un meilleur pronostic. L'exécution partielle de la peine doit toutefois apparaître</w:t>
      </w:r>
    </w:p>
    <w:p>
      <w:r>
        <w:t>- 10 - P/9316/2015 incontournable pour améliorer les perspectives d'amendement. Tel n'est pas le cas, lorsque la combinaison d'une amende au sens de l'art. 42 al. 4 CP avec le sursis apparaît suffisante sous l'angle de la prévention spéciale. Le juge doit examiner préalablement cette possibilité (arrêt du Tribunal fédéral 6B_844/2009 du 21 décembre 2009 consid. 1.1.2 et les références citées). A teneur de l'art. 44 al. 1 CP, si le juge suspend totalement ou partiellement l'exécution d'une peine, il impartit au condamné un délai d'épreuve de deux à cinq ans. 2.1.5. A teneur de l'art. 46 al. 1 1ère ph. CP, si, durant le délai d'épreuve, le condamné commet un crime ou un délit et qu'il y a dès lors lieu de prévoir qu'il commettra de nouvelles infractions, le juge révoque le sursis ou le sursis partiel. Lorsque le juge appelé à prononcer une peine privative de liberté est amené à révoquer un sursis antérieur, il doit examiner si l'exécution de la peine dont le sursis est révoqué suffira à détourner le délinquant de la récidive (ATF 134 IV 140 consid. 4.5; 116 IV 97 et 177; arrêt du Tribunal fédéral 6B_645/2009 du 14 décembre 2009 consid. 1.1). Afin de déterminer les chances d'amendement du condamné, le juge doit prendre en considération l'effet dissuasif que la nouvelle peine peut exercer, si elle est exécutée (ATF 116 IV 177 consid. 3d in JdT 1992 IV 13 et DUPUIS &amp; al., Petit commentaire du Code pénal, Bâle, 2012, n. 9 ad 46 CP). 3.2. En l'espèce, la faute du prévenu est grave. En effet, ce dernier a créé une mise en danger concrète de la vie d'autrui. Il importe peu que la route était sèche et le trafic fluide, la distance de visibilité était réduite du fait qu'il faisait nuit et le prévenu devait compter avec la présence d'autres usagers de la route tels que des cyclistes ou des piétons, notamment. Il a agi par légèreté, voulant tester la puissance de son véhicule. Par ailleurs, le prévenu, ne connaissait pas bien son véhicule, mais savait qu'il s'agissait d'un véhicule puissant et devait donc redoubler d'attention et de vigilance à l'égard des autres usagers de la route. Sa collaboration est bonne, dans la mesure où il a admis les faits, reconnaissant savoir que la vitesse était limitée à 50 km/h sur le tronçon emprunté, contrairement à sa prise de conscience qui est très limitée, dans la mesure où il a tendance à minimiser sa responsabilité, invoquant notamment des arguments tels que le fait qu'il doive consulter un psychiatre pour récupérer son permis de conduire ou qu'il a besoin dudit permis pour conduire ses enfants à l'école, il a affirmé, sans le rendre vraisemblable en l'état, qu'il avait tenté d'entreprendre des cours au TCS. Par ailleurs, les regrets du prévenu, ainsi que ses promesses d'amendement ne peuvent être appréciés qu'avec retenue au vu de ses antécédents.</w:t>
      </w:r>
    </w:p>
    <w:p>
      <w:r>
        <w:t>- 11 - P/9316/2015 Le Tribunal est lié par l'application de l'art. 90 al. 3 LCR et n'a aucune marge de manœuvre une fois la culpabilité avérée, les règles en matière de "délit de chauffard" étant strictes concernant les excès de vitesse. Le prévenu devra donc être condamné à une peine privative de liberté d'au minimum une année. Le prévenu a plusieurs antécédents judiciaires, notamment pour des faits graves de violation de la loi sur la circulation routière, et, même s'il prétend n'avoir jamais été condamné pour des excès de vitesse, le pronostic à émettre sur son comportement futur est assez défavorable. D'une part, le prévenu a déjà fait l'objet d'un retrait de permis d'un an pour une infraction grave, et ce avant les faits du 17 mars 2015. D'autre part, tant les précédentes condamnations avec sursis que la peine ferme de travail d'intérêt général sont restées sans effet sur son comportement d'automobiliste. A cet égard, il a même interrompu l'exécution du travail d'intérêt général, sans motif valable, préférant payer des jours-amende que de se mettre à l'épreuve en étant utile à la société. Il a montré par ses divers comportements qu'il reste sourd au danger créé, responsable et jugé en 2007 pour un accident ayant causé des lésions corporelles à un tiers, il conduit avec un taux d'alcoolémie de 2,16‰ en 2011 et commet l'excès de vitesse objet de la présente procédure sur les lieux même de l'accident précité. Ainsi, les peines et mesures de retrait de permis n'ont pas permis au prévenu de faire preuve d'un réel amendement. Par ailleurs, il sera relevé que le fait que le prévenu n'ait commis aucune violation de la loi sur la circulation routière depuis l'infraction du 17 mars 2015, découle notamment du fait qu'il fait l'objet d'un retrait de permis depuis lors, cet élément ne pouvant ainsi pas être retenu comme un élément à décharge. Ainsi, le prévenu ne sera pas mis au bénéfice d'un sursis complet. Par ailleurs, la fixation d'une amende à titre de sanction immédiate ne serait au demeurant pas suffisante pour envisager des perspectives d'amendement du prévenu, dans la mesure où il a déjà fait l'objet d'amendes, qui ne l'ont pas dissuadé de recommencer, et a clairement indiqué, s'agissant de l'exécution du travail d'intérêt général, qu'il préférait payer des jours-amende plutôt que d'effectuer un travail d'intérêt général adapté à son état de santé, ce qui démontre clairement qu'une sanction financière, au vu notamment de la situation financière aisée de son épouse, n'aurait aucun impact sur son comportement. Le Tribunal relève que, malgré le pronostic relatif au comportement futur du prévenu et dans la mesure où il existe de sérieux doute quant aux perspectives d'amendement de l'intéressé, il convient de considérer que l'effet dissuasif du sursis partiel est renforcé par l'exécution de l'autre partie de la peine, ce qui permet d'envisager un meilleur pronostic. Par ailleurs, la mise en place d'un long délai d'épreuve, soit 5 ans, devrait également permettre au prévenu de prendre conscience de la gravité de son comportement (art. 44 al. 1 CP).</w:t>
      </w:r>
    </w:p>
    <w:p>
      <w:r>
        <w:t>- 12 - P/9316/2015 Au vu de ce qui précède, le prévenu sera condamné à une peine privative de liberté de 1 an (art. 90 al. 3 LCR et 40 CP), assortie du sursis partiel (art. 43 CP). La partie ferme de la peine sera fixée à 6 mois, soit le minimum légal, et le solde de la peine sera soumis à un délai d'épreuve de 5 ans. Le Tribunal renoncera en revanche à révoquer les sursis octroyés les 19 novembre 2007 par la Chambre pénale de Genève et par le Ministère public du canton de Genève le 7 mai 2008, compte tenu de l'absence de récidive spécifique et du fait que le prononcé d'une peine privative de liberté ferme apparaît suffisant pour astreindre le prévenu à modifier radicalement son comportement et à lui faire prendre conscience de la dangerosité de celui-ci.</w:t>
      </w:r>
    </w:p>
    <w:p>
      <w:r>
        <w:rPr>
          <w:b/>
        </w:rPr>
        <w:t>E. 4</w:t>
      </w:r>
    </w:p>
    <w:p>
      <w:r>
        <w:t>Vu l'issue du litige, le prévenu sera débouté de ses conclusions en indemnisation (art. 429 CPP a contrario).</w:t>
      </w:r>
    </w:p>
    <w:p>
      <w:r>
        <w:rPr>
          <w:b/>
        </w:rPr>
        <w:t>E. 5</w:t>
      </w:r>
    </w:p>
    <w:p>
      <w:r>
        <w:t>Les frais de la procédure, qui s'élèvent à CHF 1'436.-, y compris un émolument de jugement de CHF 1'000.-,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