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JTCR/7/2014 vom 5. Dezember 2014</w:t>
      </w:r>
    </w:p>
    <w:p>
      <w:r>
        <w:t>GE Cour de justice, 2014-12-05, FR</w:t>
      </w:r>
    </w:p>
    <w:p>
      <w:r>
        <w:rPr>
          <w:b/>
        </w:rPr>
        <w:t xml:space="preserve">Quelle: </w:t>
      </w:r>
      <w:r>
        <w:t>https://mcp.opencaselaw.ch/entscheid/ge_gerichte_JTCR_7_2014</w:t>
      </w:r>
    </w:p>
    <w:p>
      <w:r>
        <w:t>FR: GE_GERICHTE JTCR/7/2014 du 5 décembre 2014</w:t>
      </w:r>
    </w:p>
    <w:p>
      <w:r>
        <w:t>IT: GE_GERICHTE JTCR/7/2014 del 5 dicembre 2014</w:t>
      </w:r>
    </w:p>
    <w:p>
      <w:pPr>
        <w:pStyle w:val="Heading2"/>
      </w:pPr>
      <w:r>
        <w:t>Erwägungen</w:t>
      </w:r>
    </w:p>
    <w:p>
      <w:r>
        <w:rPr>
          <w:b/>
        </w:rPr>
        <w:t>E. 1</w:t>
      </w:r>
    </w:p>
    <w:p>
      <w:r>
        <w:t>1.1.1.1 L'art. 111 CP punit d'une peine privative de liberté de cinq ans au moins celui qui aura intentionnellement tué une personne. Selon l'art. 12 al. 2 CP, agit intentionnellement quiconque commet un crime ou un délit avec conscience et</w:t>
      </w:r>
    </w:p>
    <w:p>
      <w:r>
        <w:t>- 16 - P/863/2012 volonté. L'auteur agit déjà intentionnellement lorsqu'il tient pour possible la réalisation de l'infraction et l'accepte au cas où celle-ci se produirait. Déterminer ce qu'une personne a su, envisagé, voulu ou accepté relève des constatations de faits (ATF 138 V 74 consid. 8.4.1; 137 IV 1 consid. 4.2.3). Il y a dol éventuel lorsque l'auteur envisage le résultat dommageable, mais agit néanmoins, même s'il ne le souhaite pas,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133 IV 222 consid. 5.3). Peuvent également constituer des éléments extérieurs révélateurs les mobiles de l'auteur et la façon dont il a agi (ATF 138 V 74 consid. 8.4.1; 135 IV 12 consid. 2.3.3). 1.1.1.2. 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127 IV 10 consid. 1a; arrêt du Tribunal fédéral 6B_1080/2013 du 22 octobre 2014 consid. 5.1.1.). 1.1.2.1 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l'art. 140 CP envisagent les formes qualifiées de brigandage. En vertu de l'art. 140 ch. 2 CP, le brigandage sera puni d'une peine privative de liberté d'un an au moins, si son auteur s'est muni d'une arme à feu ou d'une autre arme dangereuse.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 1.1.2.2 La qualification de l'art. 140 ch. 2 CP doit être retenue dès lors que l'auteur s'est muni d'une arme à feu, peu importe qu'il ait eu l'intention de s'en servir ou qu'il s'en soit servi (arrêt du Tribunal fédéral 6B_737/2009 du 28 janvier 2010 consid. 1.3.2).</w:t>
      </w:r>
    </w:p>
    <w:p>
      <w:r>
        <w:t>- 17 - P/863/2012 1.1.2.3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116 IV 312 consid. 2d et e).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(ATF 120 IV 317 consid. 2a; 118 IV 142 consid. 3b; 117 IV 419 consid. 4b ; arrêt du Tribunal fédéral 6B_988/2013 du 5 mai 2014 consid. 1.4.1). Une telle qualification doit ainsi en principe être retenue lorsqu'une arme chargée mais assurée ou non armée est dirigée par l'auteur vers la victime (ATF 117 IV 419 consid. 4c; arrêt du Tribunal fédéral 6B_737/2009 du 28 janvier 2010 consid. 1.3.2). La brutalité de l'auteur n'est en revanche pas indispensable (ATF 116 IV 312 consid. 2e). L'implication de plusieurs auteurs est également une circonstance à prendre en considération dans la qualification de l'art. 140 ch. 3 CP (arrêt du Tribunal fédéral 6B_988/2013 du 5 mai 2014 consid. 1.4.1 et arrêts cités). 1.1.2.4 La circonstance aggravante de la mise en danger de mort prévue au chiffre 4 de l'art. 140 CP doit être interprétée restrictivement en raison de l'importance de la peine, qui est une peine privative de liberté de cinq ans au moins et qui correspond ainsi à la peine du meurtre (art. 111 CP). Selon la jurisprudence, la mise en danger de mort de la victime suppose un danger concret, imminent et très élevé que la mort puisse survenir facilement, même sans la volonté de l'auteur (ATF 121 IV 67 consid. 2b). Les circonstances de fait et le comportement concret de l'auteur sont décisifs pour déterminer si la victime a couru un risque réel de lésions mortelles (ATF 117 IV 427 consid. 3b; 419 consid. 2). Sur le plan subjectif, l'intention doit porter sur la mise en danger de mort, ce qui signifie que l'auteur doit avoir la conscience de placer sa victime dans une telle situation, mais le dol éventuel suffit (ATF 117 IV 427 consid. 3b). 1.1.2.5 Les circonstances aggravantes définies aux chiffres 2 à 4 de l'art. 140 CP constituent des circonstances dites réelles qui confèrent à l'acte une gravité objective plus grande et qui influent en conséquence sur le sort de tous les participants, à condition qu'ils les connaissent (par opposition aux circonstances personnelles de l'art. 27 CP). Ainsi, le coauteur et le complice d'un brigandage sont passibles de la même sanction que les auteurs, même si un seul de ceux-ci réalise une des circonstances aggravantes, lorsque ce comportement relève de la</w:t>
      </w:r>
    </w:p>
    <w:p>
      <w:r>
        <w:t>- 18 - P/863/2012 décision dont l'infraction est le fruit (arrêt du Tribunal fédéral 6S.203/2005 du</w:t>
      </w:r>
    </w:p>
    <w:p>
      <w:r>
        <w:rPr>
          <w:b/>
        </w:rPr>
        <w:t>E. 6</w:t>
      </w:r>
    </w:p>
    <w:p>
      <w:r>
        <w:t>Les frais de la procédure seront mis à la charge du prévenu, lesquels comprendront un émolument de jugement de CHF 6'000.- (art. 426 al. 1 CPP).</w:t>
      </w:r>
    </w:p>
    <w:p>
      <w:r>
        <w:rPr>
          <w:b/>
        </w:rPr>
        <w:t>E. 7</w:t>
      </w:r>
    </w:p>
    <w:p>
      <w:r>
        <w:t>Au vu de la cause, l'indemnité allouée au défenseur d'office du prévenu, Me Timothée BAUER doit être fixée à un montant de CHF 14'400.- (art. 135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