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JTCR/2/2022 vom 13. Mai 2022</w:t>
      </w:r>
    </w:p>
    <w:p>
      <w:r>
        <w:t>GE Cour de justice, 2022-05-13, FR</w:t>
      </w:r>
    </w:p>
    <w:p>
      <w:r>
        <w:rPr>
          <w:b/>
        </w:rPr>
        <w:t xml:space="preserve">Quelle: </w:t>
      </w:r>
      <w:r>
        <w:t>https://mcp.opencaselaw.ch/entscheid/ge_gerichte_JTCR_2_2022</w:t>
      </w:r>
    </w:p>
    <w:p>
      <w:r>
        <w:t>FR: GE_GERICHTE JTCR/2/2022 du 13 mai 2022</w:t>
      </w:r>
    </w:p>
    <w:p>
      <w:r>
        <w:t>IT: GE_GERICHTE JTCR/2/2022 del 13 maggio 2022</w:t>
      </w:r>
    </w:p>
    <w:p>
      <w:pPr>
        <w:pStyle w:val="Heading2"/>
      </w:pPr>
      <w:r>
        <w:t>Erwägungen</w:t>
      </w:r>
    </w:p>
    <w:p>
      <w:r>
        <w:rPr>
          <w:b/>
        </w:rPr>
        <w:t>E. 1.1</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142 II 355 consid. 6 p. 359; 141 IV 369 consid. 6.2 p. 373 s.). L'expérience selon laquelle une expertise privée n'est produite que si elle est favorable à son mandant, a pour conséquence que celle-ci doit être appréciée avec retenue (ATF 141 IV 369 consid. 6.2 p. 373).</w:t>
      </w:r>
    </w:p>
    <w:p>
      <w:r>
        <w:t>- 47 - P/4040/2016 Si une expertise privée n'a pas la même valeur probante qu'une expertise judiciaire, le juge n'en est pas moins tenu d'examiner si elle est propre à mettre en doute, sur les points litigieux importants, l'opinion et les conclusions de l'expert mandaté par l'autorité (ATF 141 IV 369 consid. 6.2 p. 374; 137 II 266 consid. 3.2 p. 270 s.; 125 V 351 consid. 3c p. 354; arrêt 6B_509/2012 du 22 novembre 2012 consid. 2.1).</w:t>
      </w:r>
    </w:p>
    <w:p>
      <w:r>
        <w:rPr>
          <w:b/>
        </w:rPr>
        <w:t>E. 1.2</w:t>
      </w:r>
    </w:p>
    <w:p>
      <w:r>
        <w:t>Le Ministère public a désigné des experts judiciaires. La défense a, quant à elle, mis en œuvre trois experts privés différents, le premier se trouvant en France, le deuxième en Allemagne et le troisième au Canada. Il est relevé que seuls les médecins légistes du CURML ont procédé à l'examen du corps. Les experts privés n'ont pas vu le corps de H______. Quatre médecins expérimentés du CURML ont été mis en œuvre afin de disposer d'un maximum de compétences et ceux-ci se sont entourés de l'avis de divers spécialistes, notamment de neuropathologues et d'un pathologue. Les experts privés ont été mis en œuvre par la défense et sont rémunérés par la défense. Ils ont agi seuls, chacun de leur côté. Les experts privés ont eu à répondre à des questions précises, fermées et choisies par la défense. Ils n'ont disposé que des pièces – et des traductions - que la défense a mis à leur disposition. Les Pr AT______ et AU______ n'ont pas eu connaissances des procès-verbaux d'audience des experts légistes, alors que ceux-ci ont donné de nombreuses explications lors de leurs auditions successives. Ces éléments ont pour conséquence que l'expertise judiciaire offre une plus grande garantie de neutralité et d'objectivité. Les expertises privées produites doivent être appréciées avec retenue, tout en devant être examinées avec attention, comme de simples allégués de partie.</w:t>
      </w:r>
    </w:p>
    <w:p>
      <w:r>
        <w:rPr>
          <w:b/>
        </w:rPr>
        <w:t>E. 1.3</w:t>
      </w:r>
    </w:p>
    <w:p>
      <w:r>
        <w:t>En l'espèce, les experts judicaires ont été confrontés aux éléments avancés par les experts privés. Il ressort de l'appréciation des preuves, effectuée dans la partie en fait du présent jugement, que leurs constatations et conclusions sont exemptes de reproches et emportent la conviction du Tribunal. Les expertises privées produites ne sont pas propres à mettre en doute celles-ci. Par ailleurs, il doit être souligné que si les éléments avancés par les experts privés ont été examinés point par point, les experts privés n'ont pas tenu compte du tableau lésionnel complet. Or, les experts judiciaires ont fondé leur conclusion d'asphyxie mécanique par suffocation oro-nasale en raison de l'ensemble du bilan lésionnel observé. Par conséquent, l'expertise judiciaire est convaincante et il convient de se rallier aux résultats de l'expertise judiciaire tel que développé dans la partie en fait du présent jugement.</w:t>
      </w:r>
    </w:p>
    <w:p>
      <w:r>
        <w:t>- 48 - P/4040/2016</w:t>
      </w:r>
    </w:p>
    <w:p>
      <w:r>
        <w:rPr>
          <w:b/>
        </w:rPr>
        <w:t>E. 2.1</w:t>
      </w:r>
    </w:p>
    <w:p>
      <w:r>
        <w:t>Selon l'art. 111 CP, celui qui aura intentionnellement tué une personne sera puni d'une peine privative de liberté de cinq ans au moins, en tant que les conditions prévues aux articles suivants ne seront pas réalisées. La circonstance aggravante de l'art. 112 CP doit être retenue si l'auteur a agi avec une absence particulière de scrupules, notamment si son mobile, son but ou sa façon d'agir est particulièrement odieux. Dans un tel cas, l'auteur sera puni d'une peine privative de liberté à vie ou d'une peine privative de liberté de dix ans au moins.</w:t>
      </w:r>
    </w:p>
    <w:p>
      <w:r>
        <w:rPr>
          <w:b/>
        </w:rPr>
        <w:t>E. 2.2</w:t>
      </w:r>
    </w:p>
    <w:p>
      <w:r>
        <w:t>En l'espèce, l'examen des poumons a révélé l'existence des signes typiques en cas d'asphyxie, soit l'emphysème aigu, des zones focales d'atélectase, des hémorragies alvéolaires, une congestion plus importante au niveau des lobes inférieurs, du sang dans les alvéoles dans le lobe inférieur gauche, des hémorragies dans les bronchioles, un œdème périvasculaire. Un emphysème chronique a été exclu. La défunte présente de multiples petites dermabrasions du visage, autour du nez, de la bouche et de la mandibule gauche, qui évoquent un mouvement de frottement. Elle présente également des ecchymoses de la muqueuse de la bouche, sur le muscle masséter gauche et sur le ganglion gauche ainsi que des plaies superficielles de la muqueuse des lèvres et de la bouche, qui évoquent une compression. Une congestion viscérale a été constatée. Le corps de la victime présentait de nombreuses et importantes ecchymoses sur les membres supérieurs, les bras, les avant-bras, les mains, les doigts, qui évoquent une hétéro agression. Il ressort des analyses histologiques et immunohistochimiques réalisées que ces ecchymoses sont vitales et fraîches, soit ont été causées peu avant le décès. Les explications du prévenu sur le transport du corps de la salle de bain au lit ne sont pas crédibles et n'expliquent, en tout état, pas l'ensemble du tableau lésionnel. Du sang appartenant au prévenu a été mis en évidence autour et sous les ongles de H______ de même que sur la main de celle-ci. Une plume de 4.5 cm de longueur a été trouvée dans la bronche souche de la défunte. Elle provient d'un rembourrage. Cette plume a été inhalée au moment du décès, par la bouche et par des respirations actives intenses. Il s'agit d'un élément supplémentaire en faveur de l'hypothèse d'une asphyxie bucco-nasale. Les analyses toxicologiques et de chimie clinique n'ont rien révélé de particulier. Les examens effectués, notamment au niveau du cerveau et du cœur, ont exclu une cause neurologique ou cardiaque à l'origine du décès. L'ensemble du bilan lésionnel est compatible avec une mort par asphyxie, étant rappelé que les experts privés n'ont jamais intégré le tableau lésionnel dans leur analyse, en particulier l'état des poumons. Par conséquent, conformément au constat des experts judiciaires, il sera retenu que H______ est décédée par asphyxie mécanique, soit par suffocation oro-nasale en raison de l'ensemble du bilan lésionnel observé.</w:t>
      </w:r>
    </w:p>
    <w:p>
      <w:r>
        <w:t>- 49 - P/4040/2016 Toute intervention d'une tierce personne, extérieure au couple X______, est exclue. Par ailleurs, le prévenu reconnaît être l'auteur des ecchymoses sur les membres supérieurs. Ainsi, le prévenu a tué son épouse au moyen d'un objet souple, avec la précision que la plume retrouvée dans la bronche de la victime pouvait provenir de l'objet utilisé, tout en étant déjà sortie ou en être sortie dans la dynamique de la scène. Eu égard aux faits retenus et au temps nécessaire pour parvenir à la mort, le prévenu voulait la mort de son épouse.</w:t>
      </w:r>
    </w:p>
    <w:p>
      <w:r>
        <w:rPr>
          <w:b/>
        </w:rPr>
        <w:t>E. 2.3</w:t>
      </w:r>
    </w:p>
    <w:p>
      <w:r>
        <w:t>S'agissant du mobile du prévenu, ce dernier a toujours contesté les faits reprochés. Il a refusé de se soumettre à une expertise psychiatrique, mais il a pris d'intenses séances de coaching de (re)construction de la vérité et de résilience (pièce 16 de sa requête en indemnisation). Malgré les conclusions du rapport d'autopsie, la famille du prévenu et la famille de la défunte ne croient pas à la culpabilité du prévenu. Au contraire, ils sont convaincus de l'innocence du prévenu tant les faits qui lui sont reprochés ne correspondent pas à l'homme et à l'époux qu'ils connaissent. La famille, la belle-famille, les amis des époux X______ témoignent tous du bonheur affiché par le couple. Il ressort aussi de la procédure que les époux X______ se manifestaient réciproquement des preuves d'amour. Il sera néanmoins relevé que personne, parmi les familles ou les proches des époux X______, n'a eu connaissance du dossier de la procédure. Les éléments partiels du dossier ne leur ont été relatés que par le prévenu ou ses conseils. Un mobile financier ou de jalousie peut être exclu. Les époux X______ ne rencontraient pas de difficultés financières. Le prévenu a rencontré sa nouvelle et actuelle compagne, dont il s'est épris, mais cette relation a débuté environ un an après le décès de H______. Ainsi, le mobile du prévenu ne peut pas être déterminé. Toutefois, l'absence de mobile apparent ne suffit pas à exclure l'homicide (cf. pour un cas d'assassinat, ATF 144 IV 345 c. 2.4.1.). C'est d'ailleurs également la raison pour laquelle la poursuite pénale est confiée à l'Etat. Finalement, les faits se sont déroulés dans un huis clos, au sein d'un couple. Qu'on ne veuille pas croire que le prévenu ait pu tuer son épouse pour un mobile qu'en définitive lui seul connait est humainement compréhensible: on ne peut envisager l'inimaginable. Toutefois, cette incompréhension se heurte à la réalité objective des faits, laquelle s'impose au Tribunal, soit le fait que la victime a été tuée par obstruction bucco-nasale et que seul son mari peut être l'auteur de cet acte homicide. En tout état, le mobile du prévenu est égoïste dans la mesure où il a unilatéralement choisi de mettre fin aux jours de son épouse. En définitive, seul le prévenu connait le ou les mobiles qui l'ont poussé à agir.</w:t>
      </w:r>
    </w:p>
    <w:p>
      <w:r>
        <w:rPr>
          <w:b/>
        </w:rPr>
        <w:t>E. 2.4</w:t>
      </w:r>
    </w:p>
    <w:p>
      <w:r>
        <w:t>p. 79; arrêts 6B_1142/2020 du 12 mai 2021 consid. 5.1; 6B_906/2019 du 7 mai 2020 consid. 1.1, publié in SJ 2020 I 447).</w:t>
      </w:r>
    </w:p>
    <w:p>
      <w:r>
        <w:rPr>
          <w:b/>
        </w:rPr>
        <w:t>E. 3.1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136 IV 55 consid. 5.3 p. 57 s.; 134 IV 17 consid. 2.1 p. 19 s.; 129 IV 6 consid. 6.1 p. 20 s.).</w:t>
      </w:r>
    </w:p>
    <w:p>
      <w:r>
        <w:rPr>
          <w:b/>
        </w:rPr>
        <w:t>E. 3.2</w:t>
      </w:r>
    </w:p>
    <w:p>
      <w:r>
        <w:t>La faute du prévenu est grave. Le prévenu a mis fin aux jours de son épouse en l'étouffant, durant plusieurs minutes, en lui maintenant les mains et les bras pour l'empêcher de se soustraire à cette agression et lui causant ainsi de multiples ecchymoses, dont l'ampleur est frappante à l'œil nu et qui témoignent de la résistance de la victime. Il a indéniablement fait souffrir son épouse durant de longues minutes. Il a provoqué une sensation de mort imminente et de panique chez sa victime en renforçant de la sorte</w:t>
      </w:r>
    </w:p>
    <w:p>
      <w:r>
        <w:t>- 51 - P/4040/2016 sa souffrance physique et psychique. Dans ses efforts désespérés, la victime a respiré si fort qu'elle a inhalé une plume. Aucune situation conflictuelle apparente ne préexistait avec sa femme. Les époux ne semblaient pas être confrontés à des difficultés de couple. Même si la santé de son épouse avait décliné et que celle-ci avait changé, rien ne justifie les faits. Le prévenu avait la possibilité de renoncer à son crime, mais il a continué dans son entreprise funeste, faisant abstraction des souffrances de son épouse qui tentait désespérément de survivre. Il a fait preuve de sang-froid tant dans l'exécution de l'acte qu'après la réalisation de celui-ci. Il a exploité un état de vulnérabilité de sa victime, qui se trouvait dans son lit, endroit où tout un chacun doit pouvoir se sentir en sécurité auprès de l'être aimé. Si le mobile est indéterminé, en tout état, il est égoïste dans la mesure où le prévenu a unilatéralement choisi de mettre fin aux jours de son épouse. La responsabilité pénale du prévenu est entière et aucune circonstance atténuante n'est réalisée, ni d'ailleurs plaidée. La collaboration à la procédure du prévenu est mauvaise. Il n'a cessé d'adapter ses déclarations au gré des éléments qui apparaissaient dans la procédure. Il ressort de la procédure que le prévenu a été affecté par le décès de son épouse, mais non par son propre geste. Sa prise de conscience de sa faute est inexistante. Par contre, il ne ressort pas de la procédure que l'acte aurait été prémédité. La situation personnelle du prévenu ne justifie ni n'explique les faits commis. L'absence d'antécédents a en principe un effet neutre sur la fixation de la peine.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cf. aussi ATF 141 IV 61 consid. 6.3.2 p. 70). Le prévenu est sans antécédent judiciaire à 71 ans, ce dont il sera tenu compte, mais dans une moindre mesure. X______ est âgé aujourd'hui de 71 ans. Il n'a pas mentionné de problèmes de santé particuliers. Il ne souffre pas d'une maladie grave ou d'un autre handicap qui le rendrait plus vulnérable à la peine que la moyenne des autres condamnés (cf. arrêt 6B_1299/2016, 6B_1276/2015 et 6S.2/2006 du 7 mars 2006 consid. 1.2). Il a été jugé que l'âge de 70 ans n'était pas suffisamment avancé pour être pris en considération (cf. arrêt 6S.2/2006 du 7 mars 2006 consid. 1.2); il en était de même de l'âge de 72 ans combiné à un mauvais état de santé, dont on devait tenir compte dans un sens favorable, mais de manière marginale (6B_1276/2015 du 29 juin 2016 consid. 2.2.2). Ainsi, il sera</w:t>
      </w:r>
    </w:p>
    <w:p>
      <w:r>
        <w:t>- 52 - P/4040/2016 tenu compte de l'âge du prévenu, dans un sens favorable à l'intéressé, mais les corrections permises restent dans la limite du marginal. Enfin, s'agissant de la durée de la procédure, soit six ans, il convient de relever que le rapport d'autopsie a été rendu en septembre 2016. Ensuite, la procédure s'est prolongée afin de récolter et analyser les éléments supplémentaires demandés ou présentés par la défense. Le meurtre est punissable d'une peine privative de liberté de cinq ans au moins et de vingt ans au plus (art. 111 CP en corrélation avec l'art. 40 CP). Au vu de ces éléments, une peine privative de liberté de 13 ans sera prononcée.</w:t>
      </w:r>
    </w:p>
    <w:p>
      <w:r>
        <w:rPr>
          <w:b/>
        </w:rPr>
        <w:t>E. 3.3</w:t>
      </w:r>
    </w:p>
    <w:p>
      <w:r>
        <w:t>Le prévenu a également fait fi des règles sur la circulation routière, dénotant par là un mépris des lois en vigueur. Sa collaboration à la procédure et sa prise de conscience à cet égard sont bonnes, même si les circonstances et les éléments matériels à sa charge ne lui laissaient pas vraiment d'autre choix que de reconnaître les faits. Une peine pécuniaire de peine pécuniaire de 120 jours-amende (art. 34 CP), à CHF 500.-le jour, avec sursis, sera prononcée pour l'infraction grave à la LCR.</w:t>
      </w:r>
    </w:p>
    <w:p>
      <w:r>
        <w:rPr>
          <w:b/>
        </w:rPr>
        <w:t>E. 4.1</w:t>
      </w:r>
    </w:p>
    <w:p>
      <w:r>
        <w:t>Aux termes de l'art. 51 al. 1 1ère phrase CP, le juge impute sur la peine la détention avant jugement subie par l'auteur dans le cadre de l'affaire qui vient d'être jugée ou d'une autre procédure.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w:t>
      </w:r>
    </w:p>
    <w:p>
      <w:r>
        <w:rPr>
          <w:b/>
        </w:rPr>
        <w:t>E. 4.2</w:t>
      </w:r>
    </w:p>
    <w:p>
      <w:r>
        <w:t>En l'occurrence, les 57 jours de détention avant jugement effectués par le prévenu seront imputés sur la peine privative de liberté prononcée. En revanche, nonobstant l'impact qu'ont eu les mesures de substitution prononcées à l'encontre du prévenu, celles-ci n'ont pas affecté significativement la liberté personnelle du prévenu, de sorte qu'il ne se justifie pas de les imputer, même partiellement sur la peine prononcée. En effet, prévenu du meurtre de son épouse, le 6 décembre 2016, le prévenu a été remis en liberté moyennant le respect de mesures de substitution, consistant en une interdiction de quitter le territoire suisse, le dépôt des documents d'identité, le dépôt d'une caution de CHF 4 millions - constituée d'une garantie bancaire de CHF 3'300'000.- et de trois virements de CHF 234'000.- effectués par le frère et les sœurs de X______ -, une interdiction de réaliser tout ou partie de son patrimoine immobilier sans l'accord de la direction de la procédure et une obligation de se présenter à toute convocation du Pouvoir judiciaire. Fin 2018, le montant de la caution a été ramené à CHF 3.9 millions.</w:t>
      </w:r>
    </w:p>
    <w:p>
      <w:r>
        <w:t>- 53 - P/4040/2016 Entre septembre 2019 et janvier 2020, le prévenu a été autorisé à six reprises à se rendre à Rome, Paris et Salzbourg pour raisons professionnelles et/ou caritatives pour un total de vingt jours. En revanche, il n'a pas été autorisé à se rendre en France pour chasser ni à partir en voyage avec sa famille en Laponie en décembre 2019. Par ailleurs, il a pu vendre l'immeuble qu'il détenait en hoirie à Lucerne, réalisant par ce biais un bénéfice personnel de quelque 7.2 millions dont il a pu disposer librement. Par ordonnance du 21 décembre 2021, le Tribunal des mesures de contrainte a ramené le montant des sûretés à 3.6 millions – une garantie de paiement de UBS a été constituée à hauteur de CHF 2.9 millions -, alors même qu'il avait vendu, en octobre 2021, l'immeuble qu'il détenait en hoirie à Lucerne pour CHF 36.5 millions. Le TMC a également restitué la carte d'identité du prévenu, les autres mesures de substitution restant en vigueur (interdiction de quitter la Suisse, dépôt du passeport, interdiction de réaliser tout ou partie du patrimoine immobilier sans l'accord de la direction de la procédure, obligation de se présenter à toute convocation du Pouvoir judiciaire). Certes, le prévenu n'a pas pu se rendre au mariage de son fils à Venise en septembre 2017. S'il ne fait aucun doute que cette situation a pu l'affecter, cette restriction n'atteint pas le stade suffisant pour être considérée comme une limitation à la liberté personnelle qui justifierait que cela soit imputé sur la peine prononcée. En effet, à ce moment, le prévenu était en liberté et pouvait circuler librement dans toute la Suisse, ce alors même qu'il était prévenu du meurtre de son épouse commis l'année précédente. Par conséquent, les mesures de substitution en vigueur jusqu'au jour du jugement ne justifient pas une imputation sur la peine prononcée.</w:t>
      </w:r>
    </w:p>
    <w:p>
      <w:r>
        <w:rPr>
          <w:b/>
        </w:rPr>
        <w:t>E. 5</w:t>
      </w:r>
    </w:p>
    <w:p>
      <w:r>
        <w:t>Il est statué, par ordonnance séparée, sur le placement en détention de sûreté du prévenu, en application de l'art. 231 CPP.</w:t>
      </w:r>
    </w:p>
    <w:p>
      <w:r>
        <w:rPr>
          <w:b/>
        </w:rPr>
        <w:t>E. 6</w:t>
      </w:r>
    </w:p>
    <w:p>
      <w:r>
        <w:t>Conformément à l'art. 69 CP, le Kindle du prévenu lui sera restitué. Les autres objets figurant aux inventaires seront confisqués et détruits.</w:t>
      </w:r>
    </w:p>
    <w:p>
      <w:r>
        <w:rPr>
          <w:b/>
        </w:rPr>
        <w:t>E. 7</w:t>
      </w:r>
    </w:p>
    <w:p>
      <w:r>
        <w:t>Les frais de la procédure seront mis à la charge du condamné, y compris un émolument de jugement (art. 426 al. 1 CPP). Les conclusions en indemnisation de X______ sont rejetées (art. 429 CPP).</w:t>
      </w:r>
    </w:p>
    <w:p>
      <w:r>
        <w:t>- 54 - P/4040/2016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