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JTCR/1/2022 vom 25. Februar 2022</w:t>
      </w:r>
    </w:p>
    <w:p>
      <w:r>
        <w:t>GE Cour de justice, 2022-02-25, FR</w:t>
      </w:r>
    </w:p>
    <w:p>
      <w:r>
        <w:rPr>
          <w:b/>
        </w:rPr>
        <w:t xml:space="preserve">Quelle: </w:t>
      </w:r>
      <w:r>
        <w:t>https://mcp.opencaselaw.ch/entscheid/ge_gerichte_JTCR_1_2022</w:t>
      </w:r>
    </w:p>
    <w:p>
      <w:r>
        <w:t>FR: GE_GERICHTE JTCR/1/2022 du 25 février 2022</w:t>
      </w:r>
    </w:p>
    <w:p>
      <w:r>
        <w:t>IT: GE_GERICHTE JTCR/1/2022 del 25 febbraio 2022</w:t>
      </w:r>
    </w:p>
    <w:p>
      <w:pPr>
        <w:pStyle w:val="Heading2"/>
      </w:pPr>
      <w:r>
        <w:t>Erwägungen</w:t>
      </w:r>
    </w:p>
    <w:p>
      <w:r>
        <w:rPr>
          <w:b/>
        </w:rPr>
        <w:t>E. 7</w:t>
      </w:r>
    </w:p>
    <w:p>
      <w:r>
        <w:t>septembre 2015 consid. 1.2). 2.1.2. Selon l'art. 40 al. 1 CP, la durée minimale de la peine privative de liberté est de trois jours; elle peut être plus courte si la peine privative de liberté est prononcée par conversion d'une peine pécuniaire (art. 36) ou d'une amende (art. 106) non payées.</w:t>
      </w:r>
    </w:p>
    <w:p>
      <w:r>
        <w:t>- 33 - P/25573/2019 La durée de la peine privative de liberté est de 20 ans au plus. Lorsque la loi le prévoit expressément, la peine privative de liberté est prononcée à vie (al. 2). 2.2. La faute du prévenu est extrêmement lourde. Il s’en est pris à la vie d’autrui, bien le plus important de notre ordre juridique. Il s’en est pris à une jeune femme plus faible que lui, qui partageait sa vie depuis plus de quatre ans et lui faisait entièrement confiance. Il a fait preuve d'une intense volonté criminelle, car il a affirmé à N______, plusieurs heures avant les faits, qu'il envisageait de supprimer sa compagne. Il a donc pensé pendant plusieurs heures à la possibilité de tuer I______ et aurait pu renoncer à agir en tout temps, ce qu'il n'a pas fait. Il lui a asséné un violent coup de couteau lui perforant le poumon et l'aorte pulmonaire, l'achevant violemment avec un couteau de cuisine de 19 cm de long, alors qu'elle était incapable de se défendre ne pesant que 53 kg contre les 130 kg du prévenu. Il lui a causé une blessure mortelle ne lui laissant aucune chance, alors qu'elle avait la vie devant elle. Après son acte, il n’a pas hésité à quitter les lieux au lieu d'appeler les secours, laissant I______ sur le lit, agonisante ou morte, après qu’elle avait perdu connaissance et alors qu'il s'était rendu compte que la situation était grave, puisqu'elle ne lui répondait plus et respirait fort. Il y a concours d'infractions s'agissant des crimes et délits. Aucune autre circonstance atténuante n’est réalisée. Les mobiles du prévenu sont futiles comme déjà relevé. La situation du prévenu au moment des faits était sans particularités et n'est pas de nature à expliquer son acte. X______ a reçu une bonne éducation et bénéficiait du soutien de sa famille, notamment de ses parents et de ses sœurs dont il est très proche. Il avait donc toute latitude d’agir autrement. Par ailleurs, le soir des faits, il aurait pu quitter les lieux à tout moment ou demander à I______ de le faire, au lieu de passer à l'acte. Rien dans son parcours personnel n'explique ses agissements. La collaboration du prévenu a été inexistante. Il a persisté à contester les faits malgré les éléments à charge figurant au dossier, se limitant à affirmer que cela s'était passé très vite et qu'il ne se souvenait plus. Il a, à plusieurs reprises, fourni des explications fantaisistes s’agissant du déroulement de certains événements, changeant souvent de version, et a reporté sur sa victime la responsabilité de ses propres agissements, faisant passer son acte pour un suicide, ce qui est particulièrement choquant et inadmissible. Il sera tenu compte de son relativement jeune âge puisqu'au moment des faits X______ n'avait que 22 ans, même si cet élément ne saurait l'excuser. Sa prise de conscience est totalement nulle vu sa persistance à contester les faits. Le prévenu n’a pas manifesté de remords ou de regrets. Le fait qu’il se refuse aujourd’hui</w:t>
      </w:r>
    </w:p>
    <w:p>
      <w:r>
        <w:t>- 34 - P/25573/2019 encore à révéler au Tribunal la manière dont les événements se sont réellement déroulés marque une absence de repentir et démontre que le prévenu n’a pas saisi toute la mesure de la gravité de son comportement. Le prévenu n'a pas d'antécédents, ce qui constitue un facteur neutre dans la fixation de la peine. Au vu des éléments qui précèdent, le prévenu sera condamné à une peine privative de liberté de 13 ans. Il sera également condamné à une amende de CHF 1'000.- s'agissant de la contravention (art 106 CP).</w:t>
      </w:r>
    </w:p>
    <w:p>
      <w:r>
        <w:t>Conclusions civiles 3.1.1. Selon l'art. 122 al. 1 et 2 CPP,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 teneur de l'art. 126 al. 1 let. a CPP, le Tribunal statue sur les conclusions civiles présentées lorsqu'il rend un verdict de culpabilité à l'encontre du prévenu. 3.1.2. Chacun est tenu de réparer le dommage qu'il cause à autrui d'une manière illicite, soit intentionnellement, soit par négligence ou imprudence (art. 41 al. 1 CO). La preuve du dommage incombe au demandeur (art. 42 al. 1 CO). 3.1.3. Le juge peut, en tenant compte de circonstances particulières, allouer à la victime de lésions corporelles ou, en cas de mort d'homme, à la famille une indemnité équitable à titre de réparation morale (art. 47 CO). L'art. 49 CO prévoit en outre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w:t>
      </w:r>
    </w:p>
    <w:p>
      <w:r>
        <w:t>- 35 - P/25573/2019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2017, n. 1453 et 1456; GUYAT, L'indemnisation du tort moral en cas d'accident in SJ 2003 II 17ss). 3.2.1. Il est notoire que la perte d'un enfant, respectivement d'une sœur, constitue une grande souffrance. Dans le cas d’espèce, il est établi que les plaignants ont été profondément affectés par la perte de I______, épreuve dont ils peinent à se remettre et dont les conséquences sont toujours bien présentes, plus de deux ans après les événements. Les circonstances dans lesquelles I______ a trouvé la mort, à l'instar des dénégations du prévenu, sont constitutives de sources de souffrances supplémentaires pour les plaignants et propres à rendre leur deuil plus difficile. Vu ce qui précède, il sera alloué à D______ et A______ un montant de CHF 70'000.- chacun, avec intérêts à 5% dès le 18 décembre 2019, à titre de réparation du tort moral. Il sera alloué à E______ un montant de CHF 50'000.-, avec intérêts à 5% dès le 18 décembre 2019, à titre de réparation du tort moral. 3.2.2. D______ réclame au prévenu divers montants (EUR 518.45 frais ambulance + CHF 606.65 frais HUG + EUR 720.- frais cimetière + EUR 6'309.95 et EUR 1'248.- frais enterrement) à titre de réparation du dommage matériel, suite au décès de I______. X______ sera condamné à lui payer ces montants qui sont chiffrés et justifiés par pièces. 4. En application des art. 69 et 70 CP, le Tribunal prononcera les confiscations d'usage. Il suivra les conclusions contenues dans l'acte d'accusation, les parties ne s'y étant pas opposées. Frais et indemnités 5.1.1. L'art. 426 al. 1 CPP prévoit que le prévenu supporte les frais de procédure s'il est condamné. 5.1.2.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p. 239).</w:t>
      </w:r>
    </w:p>
    <w:p>
      <w:r>
        <w:t>- 36 - P/25573/2019 Il n'y a pas lieu d'envisager une indemnisation du prévenu en cas de condamnation aux frais, l'obligation de supporter les frais et l'allocation d'une indemnité s'excluant réciproquement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arrêt 6B_300/2012 du 10 juin 2013 consid. 2.4). Il est donc concevable d'indemniser, dans une mesure réduite, le prévenu qui doit supporter l'ensemble des frais de justice (MIZEL/RÉTORNAZ, in Commentaire romand, Code de procédure pénale suisse, 2011,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5.1.3.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arrêts 6B_1050/2018 du 8 mars 2019 consid. 4.1.2; 6B_47/2017 du 13 décembre 2017 consid. 1.1, non publié dans l'ATF 143 IV 495). 5.2.1. Le prévenu a fait valoir des prétentions en indemnisation à hauteur de CHF 160'000.-, plus intérêts à 5% dès le 21 janvier 2021 sur la base de l'art. 429 al. 1 let. c CPP et de CHF 30'000.-, plus intérêts à 5% dès le 21 janvier 2021 sur la base de l'art. 429 al. 1 let. c CPP. Vu l'issue de la présente procédure les conclusions en indemnisation de X______ seront rejetées.</w:t>
      </w:r>
    </w:p>
    <w:p>
      <w:r>
        <w:t>- 37 - P/25573/2019 5.2.2. E______ réclame au prévenu des montants de EUR 359.80 et CHF 1'124.75 correspondant aux frais de transport et d'hôtel nécessaires à sa présence aux audiences d'instruction et de jugement. Le prévenu ayant succombé, il se justifie d'accorder à la partie plaignante une juste indemnité pour les dépenses obligatoires occasionnées par la procédure. Une indemnité correspondant aux montants demandés sera octroyée à E______ et X______ sera condamné à lui verser ces sommes. 5.2.3. Le prévenu devra supporter les frais de la procédure, qui s'élèvent à CHF 68'427.05, y compris un émolument de jugement de CHF 10'000.- (art. 426 al. 1 CPP et</w:t>
      </w:r>
    </w:p>
    <w:p>
      <w:r>
        <w:rPr>
          <w:b/>
        </w:rPr>
        <w:t>E. 11</w:t>
      </w:r>
    </w:p>
    <w:p>
      <w:r>
        <w:t>let. d RTFMP). 6. Les défenseurs d'office et les conseils juridiques gratuits seront indemnisés (art. 135 al. 2 et 138 al. 1 CPP).</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