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JTCO/90/2017 vom 27. Juni 2017</w:t>
      </w:r>
    </w:p>
    <w:p>
      <w:r>
        <w:t>GE Cour de justice, 2017-06-27, FR</w:t>
      </w:r>
    </w:p>
    <w:p>
      <w:r>
        <w:rPr>
          <w:b/>
        </w:rPr>
        <w:t xml:space="preserve">Quelle: </w:t>
      </w:r>
      <w:r>
        <w:t>https://mcp.opencaselaw.ch/entscheid/ge_gerichte_JTCO_90_2017</w:t>
      </w:r>
    </w:p>
    <w:p>
      <w:r>
        <w:t>FR: GE_GERICHTE JTCO/90/2017 du 27 juin 2017</w:t>
      </w:r>
    </w:p>
    <w:p>
      <w:r>
        <w:t>IT: GE_GERICHTE JTCO/90/2017 del 27 giugno 2017</w:t>
      </w:r>
    </w:p>
    <w:p>
      <w:pPr>
        <w:pStyle w:val="Heading2"/>
      </w:pPr>
      <w:r>
        <w:t>Erwägungen</w:t>
      </w:r>
    </w:p>
    <w:p>
      <w:r>
        <w:rPr>
          <w:b/>
        </w:rPr>
        <w:t>E. 1</w:t>
      </w:r>
    </w:p>
    <w:p>
      <w:r>
        <w:t>lit. b LEtr. Peine 4.1.1.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En matière de trafic de stupéfiants, la jurisprudence a dégagé les précisions suivantes (ATF 127 IV 101).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l'article 19 al. 2 let. a LStup. Il en va de même lorsque plusieurs circonstances aggravantes sont réalisées. Le type et la nature du trafic en cause sont aussi</w:t>
      </w:r>
    </w:p>
    <w:p>
      <w:r>
        <w:t>- 13 - P/7236/2017 déterminants. L'appréciation est différente selon que l'auteur a agi de manière autonome ou comme membre d'une organisation. Dans ce dernier cas, il importera de déterminer la nature de sa participation et sa position au sein de l'organisation: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 1.2.2 et les références citées). 4.1.2.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4.1.3. L'art. 43 al. 1 CP prévoit que le juge peut suspendre partiellement l'exécution d'une peine pécuniaire, d'un travail d'intérêt général ou d'une peine pécuniaire d'un an au moins et de trois ans au plus afin de tenir compte de façon appropriée de la faute de l'auteur. La partie à exécuter doit être au moins de six mois (al. 3), mais ne peut pas excéder la moitié de la peine (al. 2).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4.2. En l'espèce, la faute du prévenu est importante. Son trafic a porté sur une quantité non négligeable de cocaïne, dont une partie avait un taux de pureté élevé, au mépris de la santé d'autrui.</w:t>
      </w:r>
    </w:p>
    <w:p>
      <w:r>
        <w:t>- 14 - P/7236/2017 Il a agi tant en qualité de récipiendaire de la drogue que de vendeur. Son rôle était plus élevé que celui d'un simple ouvrier, puisqu'il a pris des mesures pour se faire livrer une quantité importante par une mule, lui-même étant en contact direct avec le fournisseur à cette fin. Il a agi de manière indépendante, ayant des fonds propres suffisants pour acquérir la drogue. Il avait en outre un rapport de confiance avec son fournisseur, lequel lui a fait crédit pour une partie de l'argent dû. La période pénale est relativement longue, l'implication du prévenu dans le trafic ayant duré plus d'une année, étant précisé que seule son arrestation a permis de mettre fin à ses agissements délictueux. L'infraction de séjour illégal dénote également la persistance du prévenu à demeurer en Suisse au mépris de la législation en vigueur, en dépit de deux précédentes condamnations à ce titre, étant relevé que la période pénale est de plus d'un an et demi. Les mobiles du prévenu sont égoïstes et relèvent d'un pur appât du gain s'agissant du trafic de stupéfiants et de la convenance personnelle s'agissant du séjour illégal. La collaboration de A______ a été plutôt bonne. S'il a, dans un premier temps, essayé de minimiser les quantités de drogue vendues, il a néanmoins admis dès le début l'essentiel des faits reprochés, impliquant ses comparses, et a, lors de l'audience de jugement, reconnu la totalité des faits retenus. Le prévenu a exprimé des regrets qui paraissent sincères et qui laissent espérer une ébauche de prise de conscience de la gravité de ses actes. Il y a également lieu de tenir compte de son jeune âge. Sa situation personnelle n'excuse en rien ses agissements, bien au contraire: même si son statut administratif était précaire, il bénéficiait d'un toit et du soutien financier de sa compagne, qui s'acquittait de toutes les charges courantes du ménage. Selon ses propres déclarations, il n'était pas dans le besoin puisqu'il destinait l'argent issu de son trafic de stupéfiants à ses économies. Il y a concours d'infractions, au sens de l'art. 49 al. 1 CP. A______ a deux antécédents spécifiques en matière d'infraction à la Loi fédérale sur les étrangers, sa dernière condamnation étant récente. Le pronostic est défavorable s'agissant de cette dernière infraction, compte tenu de ses précédentes condamnations qui ne l'ont pas empêché de persister à demeurer en Suisse. Il n'est pas défavorable en ce qui concerne le trafic de stupéfiants, le prévenu n'ayant jamais été condamné à ce titre. Compte tenu de ce qui précède, le Tribunal prononcera une peine privative de liberté de 30 mois, laquelle sera assortie du sursis partiel, dont les conditions sont réalisées, la peine ferme étant fixée à 12 mois et le délai d'épreuve à 5 ans.</w:t>
      </w:r>
    </w:p>
    <w:p>
      <w:r>
        <w:rPr>
          <w:b/>
        </w:rPr>
        <w:t>E. 5</w:t>
      </w:r>
    </w:p>
    <w:p>
      <w:r>
        <w:t>Par décision motivée séparée, le maintien en détention pour motifs de sûreté du prévenu sera ordonné (art. 231 al. 1 CPP).</w:t>
      </w:r>
    </w:p>
    <w:p>
      <w:r>
        <w:t>- 15 - P/7236/2017 6.1.1. A teneur de l'art. 66a al. 1 let. o CP, le juge expulse de Suisse, pour une durée de cinq à quinze ans, l'étranger condamné pour infraction à l'art. 19 al. 2 ou 20 al. 2 LStup, quelle que soit la quotité de la peine prononcée à son encontre. 6.1.2. D'après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6.1.3. Pour fonder un cas de rigueur, il est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à la comparaison entre les conditions de vie en Suisse et dans le pays d'origine, mais aussi à la prise en considération des éléments de la culpabilité ou de l'acte (AARP/185/2017 du 2 juin 2017 consid. 2.2 et les références citées). Ensuite, le juge doit faire une pesée des intérêts entre celui public à l'éloignement et la situation personnelle du condamné. Concernant le premier volet, le juge doit se demander si l'expulsion est de nature à empêcher la commission de nouvelles infractions en Suisse. A cette fin, il considérera pour commencer la quotité de la peine: plus lourde sera celle-ci et plus grand sera l'intérêt public à expulser l'étranger. Ce résultat sera renforcé par le type d'infraction commise: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Convention de sauvegarde des droits de l'homme et des libertés fondamentales du 4 novembre 1950 (CEDH; RS 0.101) restent contraignantes (AARP/185/2017 du 2 juin 2017 consid. 2.2 et les références citées). Les critères déterminants mis en exergue par la jurisprudence rendue sur l'art. 8 CEDH sont applicables à la pesée des intérêts de l'art. 66a al. 2 CP: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Les antécédents judiciaires antérieurs au 1er octobre 2016 sont aussi à prendre en considération, y compris les antécédents de droit pénal des mineurs.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En définitive, la situation personnelle de l'intéressé doit être examinée de façon concrète (AARP/185/2017 du 2 juin 2017 consid. 2.2 et les références citées).</w:t>
      </w:r>
    </w:p>
    <w:p>
      <w:r>
        <w:t>- 16 - P/7236/2017 6.2. En l'espèce, la culpabilité du prévenu ayant été établie pour une infraction à l'art. 19 al. 2 LStup, son expulsion doit être prononcée, sauf réalisation d'un cas de rigueur. A______ est en situation irrégulière en Suisse, sa demande d'asile a été radiée et sa demande de réouverture de demande d'asile a été rejetée. Certes, il est le père biologique d'un enfant domicilié en Suisse, ce dont le Tribunal n'a pas de raison de douter. Cela étant, à ce jour, il n'a pas reconnu l'enfant et n'en est légalement pas le père. Quand bien même il indique vouloir se marier avec la mère de son enfant, régulariser sa situation et entreprendre les démarches pour reconnaître son fils, la situation administrative de sa compagne est également incertaine, dans la mesure où sa demande de permis est à l'étude auprès de l'OCPM, étant relevé que la procédure de divorce avec le père légal de l'enfant n'a pas encore été initiée. Il existe donc de grandes incertitudes quant à l'avenir de la mère de son fils en Suisse, et plus encore quant au sien. Sa famille se trouve en Guinée, pays dans lequel il a grandi, et rien n'indique qu'il ne pourrait pas se réintégrer rapidement, étant relevé qu'il n'est en Suisse que depuis cinq ans. Pour le surplus, il n'a pas rendu vraisemblables les menaces de mort alléguées dont il ferait l'objet de la part de son père. Dès lors, la situation de A______ ne justifie pas de fonder un cas de rigueur permettant de renoncer à l'expulsion. Par conséquent, après analyse concrète de la situation personnelle du prévenu, il appert que la continuation de son séjour en Suisse est incompatible avec l'intérêt public, lequel prime son intérêt privé à demeurer dans ce pays. Au vu de ce qui précède, le Tribunal prononcera l'expulsion du prévenu de Suisse pour une durée de cinq ans.</w:t>
      </w:r>
    </w:p>
    <w:p>
      <w:r>
        <w:rPr>
          <w:b/>
        </w:rPr>
        <w:t>E. 7</w:t>
      </w:r>
    </w:p>
    <w:p>
      <w:r>
        <w:t>Le Tribunal ordonnera la confiscation et la destruction des téléphones portables, qui ont servi à commettre les infractions, de la drogue et des emballages de doigts, ainsi que la confiscation et la dévolution à l'Etat des sommes d'argent saisies.</w:t>
      </w:r>
    </w:p>
    <w:p>
      <w:r>
        <w:rPr>
          <w:b/>
        </w:rPr>
        <w:t>E. 8</w:t>
      </w:r>
    </w:p>
    <w:p>
      <w:r>
        <w:t>Les frais de la procédure, lesquels comprendront un émolument de jugement de CHF 1200.-, seront mis à la charge du prévenu (art. 426 al.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