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JTCO/72/2023 vom 14. Juni 2023</w:t>
      </w:r>
    </w:p>
    <w:p>
      <w:r>
        <w:t>GE Cour de justice, 2023-06-14, FR</w:t>
      </w:r>
    </w:p>
    <w:p>
      <w:r>
        <w:rPr>
          <w:b/>
        </w:rPr>
        <w:t xml:space="preserve">Quelle: </w:t>
      </w:r>
      <w:r>
        <w:t>https://mcp.opencaselaw.ch/entscheid/ge_gerichte_JTCO_72_2023</w:t>
      </w:r>
    </w:p>
    <w:p>
      <w:r>
        <w:t>FR: GE_GERICHTE JTCO/72/2023 du 14 juin 2023</w:t>
      </w:r>
    </w:p>
    <w:p>
      <w:r>
        <w:t>IT: GE_GERICHTE JTCO/72/2023 del 14 giugno 2023</w:t>
      </w:r>
    </w:p>
    <w:p>
      <w:pPr>
        <w:pStyle w:val="Heading2"/>
      </w:pPr>
      <w:r>
        <w:t>Erwägungen</w:t>
      </w:r>
    </w:p>
    <w:p>
      <w:r>
        <w:rPr>
          <w:b/>
        </w:rPr>
        <w:t>E. 1</w:t>
      </w:r>
    </w:p>
    <w:p>
      <w:r>
        <w:t>OASA n'est pas exhaustive et que l'expulsion relève du droit pénal, le juge devra également, dans l'examen du cas de rigueur, tenir compte des perspectives de réinsertion sociale du condamné (cf. ATF 144 IV 332 consid. 3.3.2; arrêts du Tribunal fédéral 6B_1117/2018 du 11 janvier 2019 consid. 2.3.1; 6B_371/2018 du 21 août 2018 consid. 2.4 et 2.5 et les références citées).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5.1.3.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Un signalement dans le SIS ne peut être effectué que sur la base d'une évaluation individuelle tenant compte du principe de proportionnalité. Il est ainsi nécessaire que ledit signalement soit justifié par le caractère raisonnable, la pertinence et l'importance de l'affaire. 5.2. En l'espèce, l'infraction commise par le prévenu constitue un cas d'expulsion obligatoire. Il reste à déterminer si les conditions strictes du cas de rigueur sont réalisées.</w:t>
      </w:r>
    </w:p>
    <w:p>
      <w:r>
        <w:t>- 22 -</w:t>
      </w:r>
    </w:p>
    <w:p>
      <w:r>
        <w:t>P/14788/2022</w:t>
      </w:r>
    </w:p>
    <w:p>
      <w:r>
        <w:t>A cet égard, le prévenu vit en Suisse depuis 2006, soit 17 ans. Il a trois enfants avec trois femmes différentes et des contacts réguliers avec deux d'entre eux selon ses dires, étant relevé qu'au moment de son incarcération, sa dernière fille était un nouveau-né et que les liens qu'il dit entretenir avec son autre fille ne sont attestés par aucun élément objectif. Il n'apparait pas spécialement intégré ni n'avoir de réseau social. Il n'a reçu aucune visite en prison malgré le fait qu'il indique avoir plusieurs membres de sa famille en Suisse. Sa situation administrative est précaire dans la mesure où son permis B est échu depuis 2018. Le prévenu ne travaillait plus depuis le 7 juin 2021 selon ses dires. Il a huit antécédents depuis 2014, y compris pour violation d'une obligation d'entretien. Pour le surplus, le prévenu n'a pas fait valoir qu'un retour au Congo le mettrait dans une situation personnelle difficile, étant observé que son père, qui est avocat de profession, vit toujours dans ce pays. Compte tenu de l'ensemble des circonstances et de la gravité des faits reprochés au prévenu, l'intérêt public à son expulsion l'emporte sur son intérêt privé à pouvoir demeurer en Suisse. Son expulsion sera donc prononcée pour une durée de cinq ans. Se pose la question d'une éventuelle inscription dans le SIS. Le prévenu est arrivé à Paris à l'âge de 4 ans et y a grandi. Une partie de sa famille réside en outre en France. Compte tenu de ses liens avec ce pays et pour ne pas prétériter à l'excès ses relations avec ses enfants, il sera renoncé à ordonner le signalement de son expulsion dans le SIS. Conclusions civiles 6.1.1. La partie plaignante peut faire valoir ses conclusions civiles déduites de l'infraction par adhésion à la procédure (art. 122 al. 1 CPP). Le calcul et la motivation des conclusions civiles doivent être présentés au plus tard durant les plaidoiries (art. 123 al.</w:t>
      </w:r>
    </w:p>
    <w:p>
      <w:r>
        <w:rPr>
          <w:b/>
        </w:rPr>
        <w:t>E. 2</w:t>
      </w:r>
    </w:p>
    <w:p>
      <w:r>
        <w:t>CPP). 6.1.2. L'art. 124 al. 3 CPP prévoit que, si le prévenu acquiesce aux conclusions civiles, sa déclaration doit être consignée au procès-verbal et constatée dans la décision finale. 6.1.3.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6.1.4.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w:t>
      </w:r>
    </w:p>
    <w:p>
      <w:r>
        <w:t>- 23 -</w:t>
      </w:r>
    </w:p>
    <w:p>
      <w:r>
        <w:t>P/14788/2022</w:t>
      </w:r>
    </w:p>
    <w:p>
      <w:r>
        <w:t>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6.2. En l'espèce, le prévenu a acquiescé aux conclusions civiles de la partie plaignante. Il sera donc condamné à lui verser un montant de CHF 10'000.-, avec intérêts à 5% dès le 10 juillet 2022, à titre de tort moral. Inventaires 7.1.1.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7.1.2.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7.2. En l'espèce, le Tribunal ordonnera la confiscation et la destruction du couteau figurant sous chiffre 3 de l'inventaire n°35537920220710. Il ordonnera la restitution à son ayant droit des objets figurant sous chiffres 1 et 2 de l'inventaire n°35537920220710. Il ordonnera la restitution à A______ des vêtements et chaussures figurant sous chiffres</w:t>
      </w:r>
    </w:p>
    <w:p>
      <w:r>
        <w:rPr>
          <w:b/>
        </w:rPr>
        <w:t>E. 4</w:t>
      </w:r>
    </w:p>
    <w:p>
      <w:r>
        <w:t>à 7 de l'inventaire n°35537920220710. Il ordonnera la restitution à X______ des vêtements et chaussures figurant sous chiffres 1 à 4 de l'inventaire n°35540020220710. Enfin, il ordonnera la restitution à son ayant droit du téléphone figurant sous chiffre 1 de l'inventaire n°35538520220710. Frais et indemnisation 8.1. Aux fins de tenir compte dans une juste proportion de l'acquittement partiel prononcé, les frais de la procédure, fixés à CHF 12'557.20, y compris un émolument de jugement de 1'500.-, seront mis à la charge du prévenu à raison de 4/5èmes, le solde étant laissé à la charge de l'Etat (art. 426 al. 1 et 423 al. 1 CPP). 8.2. Le défenseur d'office et le conseil juridique gratuit seront indemnisés (art. 135 et 138 CPP).</w:t>
      </w:r>
    </w:p>
    <w:p>
      <w:r>
        <w:t>- 24 -</w:t>
      </w:r>
    </w:p>
    <w:p>
      <w:r>
        <w:t>P/14788/2022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