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JTCO/67/2020 vom 2. Juni 2020</w:t>
      </w:r>
    </w:p>
    <w:p>
      <w:r>
        <w:t>GE Cour de justice, 2020-06-02, FR</w:t>
      </w:r>
    </w:p>
    <w:p>
      <w:r>
        <w:rPr>
          <w:b/>
        </w:rPr>
        <w:t xml:space="preserve">Quelle: </w:t>
      </w:r>
      <w:r>
        <w:t>https://mcp.opencaselaw.ch/entscheid/ge_gerichte_JTCO_67_2020</w:t>
      </w:r>
    </w:p>
    <w:p>
      <w:r>
        <w:t>FR: GE_GERICHTE JTCO/67/2020 du 2 juin 2020</w:t>
      </w:r>
    </w:p>
    <w:p>
      <w:r>
        <w:t>IT: GE_GERICHTE JTCO/67/2020 del 2 giugno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Tribunal renoncera à l'expulsion de D______ (art. 66abis CP), qui est désormais durablement établie en Suisse, où elle exploite son établissement. Les infractions à l'art. 305 CP et à la LCR ne commandent pas l'expulsion obligatoire.</w:t>
      </w:r>
    </w:p>
    <w:p>
      <w:r>
        <w:rPr>
          <w:b/>
        </w:rPr>
        <w:t>E. 4</w:t>
      </w:r>
    </w:p>
    <w:p>
      <w:r>
        <w:t>Il sera fait droit à l'action civile de A______ sur le principe (art. 47 et 49 al. 1 CO). La victime est particulièrement marquée, ce qui ressort de la documentation médicale et de ses propres déclarations. Cela étant, l'agression dont A______ a été victime le 4 janvier 2019 a accentué, de son propre aveu, la symptomatologie. C'est en gardant ces éléments à l'esprit que le Tribunal arrêtera le montant dû à titre de réparation du tort moral. B______, qui n'étaye pas ses conclusions, sera renvoyée à agir par la voie civile (art. 121 al. 2 et 126 al. 2 let. b CPP).</w:t>
      </w:r>
    </w:p>
    <w:p>
      <w:r>
        <w:rPr>
          <w:b/>
        </w:rPr>
        <w:t>E. 5</w:t>
      </w:r>
    </w:p>
    <w:p>
      <w:r>
        <w:t>Les frais de justice sont élevés (CHF 59'008.65). Le Tribunal veut éviter qu'ils n'apparaissent comme une sanction supplémentaire aux yeux des prévenus. Seul 1/5 des frais de la procédure sera donc mis à la charge de chacun d'eux, les 3/5 restants, qui auraient potentiellement pu être imputés aux trois prévenus français s'ils avaient tous été jugés ensemble, restant à la charge de l'Etat (art. 425 et 426 al. 1 let. e CPP). Vu l'acquittement partiel de la prévenue, 1/3 des frais de justice sera de surcroît retranché et une indemnité tirée de l'art. 429 al. 1 let. a CPP lui sera allouée, dans la même proportion (TF 6B_385/2017 du 5 décembre 2017, consid. 2.1). Elle sera déboutée de ses conclusions tirées de l'art. 429 al. 1 let. b et c CPP pour le surplus, le principe de l'imputation l'emportant</w:t>
      </w:r>
    </w:p>
    <w:p>
      <w:r>
        <w:t>P/5491/2019 - 27 - sur celui de l'indemnisation (TF 6B_389/2018 du 6 septembre 2018, consid. 1.1; TF 6B_558/2013 du 13 décembre 2013, consid. 1.5 et 1.6). C______ devra supporter les frais et honoraires d'avocat de A______ (art. 433 al. 1 let. a CPP).</w:t>
      </w:r>
    </w:p>
    <w:p>
      <w:r>
        <w:t>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