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JTCO/63/2024 vom 27. Juni 2024</w:t>
      </w:r>
    </w:p>
    <w:p>
      <w:r>
        <w:t>GE Cour de justice, 2024-06-27, FR</w:t>
      </w:r>
    </w:p>
    <w:p>
      <w:r>
        <w:rPr>
          <w:b/>
        </w:rPr>
        <w:t xml:space="preserve">Quelle: </w:t>
      </w:r>
      <w:r>
        <w:t>https://mcp.opencaselaw.ch/entscheid/ge_gerichte_JTCO_63_2024</w:t>
      </w:r>
    </w:p>
    <w:p>
      <w:r>
        <w:t>FR: GE_GERICHTE JTCO/63/2024 du 27 juin 2024</w:t>
      </w:r>
    </w:p>
    <w:p>
      <w:r>
        <w:t>IT: GE_GERICHTE JTCO/63/2024 del 27 giugno 2024</w:t>
      </w:r>
    </w:p>
    <w:p>
      <w:pPr>
        <w:pStyle w:val="Heading2"/>
      </w:pPr>
      <w:r>
        <w:t>Erwägungen</w:t>
      </w:r>
    </w:p>
    <w:p>
      <w:r>
        <w:rPr>
          <w:b/>
        </w:rPr>
        <w:t>E. 20</w:t>
      </w:r>
    </w:p>
    <w:p>
      <w:r>
        <w:t>ans au plus. Lorsque la loi le prévoit expressément, la peine privative de liberté est prononcée à vie (art. 40 CP). 2.1.3.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(arrêt du Tribunal fédéral 6B_978/2017 consid.3.2).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juge dispose d'un large pouvoir d'appréciation dans l'émission du pronostic (arrêt du Tribunal fédéral 6B_978/2017 consid.3.2). 2.1.4. A teneur de l'art. 43 al. 1 CP, le juge peut suspendre partiellement l'exécution d'une peine privative de liberté d'un an au moins et de trois ans au plus afin de tenir compte de façon appropriée de la faute de l'auteur. Les conditions permettant l'octroi du sursis au sens de l'art. 42 CP valent également pour le sursis partiel prévu à l'art. 43 CP. Ainsi,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t>- 17 -</w:t>
      </w:r>
    </w:p>
    <w:p>
      <w:r>
        <w:t>P/17416/2023</w:t>
      </w:r>
    </w:p>
    <w:p>
      <w:r>
        <w:t>2.1.5. Le juge impute sur la peine la détention avant jugement subie par l'auteur dans le cadre de l'affaire qui vient d'être jugée ou d'une autre procédure. Un jour de détention correspond à un jour-amende (art. 51 CP). 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arrêt du Tribunal fédéral 6B_352/2018 du 27 juillet 2018 consid. 5.1). 2.1.6.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2.1.7. À teneur de l'art. 89 CP, si, durant le délai d'épreuve, le détenu libéré conditionnellement commet un crime ou un délit, le juge qui connaît de la nouvelle infraction ordonne sa réintégration dans l'établissement (al. 1). Le juge renonce à réintégrer dans l'établissement de détention le détenu libéré conditionnellement ayant commis un nouveau crime ou délit, s'il n'y a pas lieu de craindre que celui-ci commette d'autres infractions (al. 2). Si, en raison de la nouvelle infraction, les conditions d'une peine privative de liberté ferme sont réunies et que celle-ci entre en concours avec le solde de la peine devenu exécutoire à la suite de la révocation, le juge prononce, en vertu de l'art. 49 CP, une peine d'ensemble (al. 6). 2.1.8. La Directive 2008/115/CE du Parlement européen et du Conseil du 16 septembre 2008 relative aux normes et procédures communes applicables dans les États membres au retour des ressortissants de pays tiers en séjour irrégulier (ci-après: Directive sur le retour) a été reprise par la Suisse. La LEI a été adaptée en conséquence et les juridictions suisses doivent faire leur possible pour mettre en œuvre la jurisprudence européenne relative à cette directive (ATF 143 IV 264 consid. 2.1 p. 266). La Directive sur le retour n'est pas applicable aux ressortissants des pays tiers ayant commis, outre le séjour irrégulier, un ou plusieurs autres délits en dehors du droit pénal des étrangers (art. 2 ch. 2 de la Directive sur le retour; ATF 143 IV 264 consid. 2.6). 2.2. En l'espèce, la faute du prévenu est importante. Il a participé à un trafic de stupéfiants local mais en agissant sur le territoire de plusieurs cantons et portant sur une quantité de plusieurs centaines de grammes de drogue, dont 125 grammes d'un taux de pureté élevé, soit environ 81 %, ceci sur une période pénale de plus d'un an.</w:t>
      </w:r>
    </w:p>
    <w:p>
      <w:r>
        <w:t>- 18 -</w:t>
      </w:r>
    </w:p>
    <w:p>
      <w:r>
        <w:t>P/17416/2023</w:t>
      </w:r>
    </w:p>
    <w:p>
      <w:r>
        <w:t>Le prévenu a ainsi mis en danger la vie et la santé de nombreuses personnes. Il a également agi au mépris des interdits en matière de législation des étrangers et au mépris de l'autorité publique s'agissant de la rupture de ban. Seule son arrestation a mis fin à ses activités illicites. Le prévenu occupait une position hiérarchique d'intermédiaire. Il était indépendant dans son trafic et polyvalent, agissant comme vendeur tout en commandant, en transportant et en fournissant la cocaïne. Il était bien organisé avec deux téléphones, l'un servant à l'organisation des livraisons et l'autre pour contacter les clients toxicomanes, ce qui lui a permis de cloisonner ses activités, de rester discret et de rendre plus difficile la découverte de son trafic cas échéant, dénotant ainsi un certain professionnalisme. Son mobile est égoïste, le prévenu ayant agi par appât du gain facile et rapide, au mépris de la santé des consommateurs et par convenance personnelle pour ce qui est du séjour illégal et de la rupture de ban. Sa situation personnelle, quoique précaire, ne justifie en rien les actes commis. La collaboration du prévenu a été mauvaise. Certes, il a admis à la police ce qu'il ne pouvait contester vu les circonstances de son arrestation, mais il a continuellement minimisé son implication et persisté à contester les autres transactions reprochées. Ses aveux aux débats, s'agissant des 44.7 grammes vendus sont, à tout le moins en partie, de circonstances. Sa prise de conscience apparaît légèrement ébauchée dans la mesure où il a présenté des excuses et exprimé des regrets à l'audience de jugement, même s'ils semblent davantage concerner les conséquences de ses actes pour lui-même. Le prévenu a 7 antécédents depuis 2016 notamment pour des infractions spécifiques. Il n'a tiré aucun enseignement ni de ses précédentes condamnations ni de la détention subie, ni de sa libération conditionnelle puisqu'il a repris des agissements similaires. Aucune circonstance atténuante n'est réalisée ni, à juste titre, plaidée. Il y a concours d'infractions, ce qui constitue un facteur aggravant. Compte tenu de la gravité de la faute, de la quantité et du taux de pureté de la drogue, ainsi que de la position du prévenu dans le trafic, seule une peine privative de liberté entre en considération, la Directive sur le retour ne trouvant pas application dans le cas d'espèce, eu égard à l'infraction aggravée à la Lstup dont le prévenu est reconnu coupable. S'agissant du pronostic quant à son comportement, le prévenu n'évoque aucun projet d'avenir concret. Vu son parcours judiciaire et la facilité avec laquelle il a récidivé après avoir purgé une peine de prison et alors qu'il se trouvait en période probatoire suite à sa libération conditionnelle, ainsi que l'absence de projets concrets et une prise de conscience inaboutie, le pronostic est défavorable et la peine prononcée sera ferme.</w:t>
      </w:r>
    </w:p>
    <w:p>
      <w:r>
        <w:t>- 19 -</w:t>
      </w:r>
    </w:p>
    <w:p>
      <w:r>
        <w:t>P/17416/2023</w:t>
      </w:r>
    </w:p>
    <w:p>
      <w:r>
        <w:t>Par identité de motifs et dès lors qu'il faut craindre que le condamné commettra de nouvelles infractions, la libération conditionnelle accordée le 19 novembre 2020 par le Tribunal d'application des peines et mesures, sera révoquée (solde de peine de 62 jours) et une peine d'ensemble sera prononcée. L'infraction la plus grave est le trafic de stupéfiants pour laquelle une peine de base de 28 mois est adéquate laquelle sera augmentée dans une juste proportion pour tenir compte du séjour illégal, de la rupture de ban et du solde de peine de 62 jours. En définitive, le prévenu sera condamné à une peine privative de liberté de 36 mois. La détention avant jugement sera déduite. Il n'y aura en revanche aucune imputation des mesures de substitution sur la détention déjà subie dans la mesure ou le prévenu a exécuté 180 jours de peine privative de liberté en conversion d'une peine pécuniaire et d'une amende non payée, à titre de mesure de substitution. Expulsion 3.1.1. Aux termes de l'art. 66a al. 1 let. o CP, le juge expulse de Suisse l'étranger qui est condamné pour infraction à l'art. 19 al. 2 LStup, quelle que soit la quotité de la peine prononcée. 3.1.2.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3.1.3. L'inscription de l'expulsion dans le système d'information Schengen (SIS) est régie par le chapitre IV du règlement SIS II (règlement CE n° 1987/2006) relatif aux signalements de ressortissants de pays tiers aux fins de non-admission ou d'interdiction de séjour. L'art. 21 de ce règlement prescrit qu'avant d'introduire un signalement, l'État membre signalant vérifie si le cas est suffisamment approprié, pertinent et important pour justifier l'introduction du signalement dans le SIS II. Le signalement dans le SIS suppose que la présence de la personne concernée, ressortissante d'un pays tiers, sur le territoire d'un État membre constitue une menace pour l'ordre public ou la sécurité publique ou pour la sécurité nationale. L'art. 24 précise que tel peut être notamment le cas lorsque l'intéressé a été condamné dans un État membre pour une infraction passible d'une peine privative de liberté d'au moins un an (let. a) ou lorsqu'il existe des raisons sérieuses de croire qu'il a commis un fait punissable grave, ou à l'égard duquel il existe des indices réels qu'il envisage de commettre un tel fait sur le territoire d'un État membre (let. b).</w:t>
      </w:r>
    </w:p>
    <w:p>
      <w:r>
        <w:t>- 20 -</w:t>
      </w:r>
    </w:p>
    <w:p>
      <w:r>
        <w:t>P/17416/2023</w:t>
      </w:r>
    </w:p>
    <w:p>
      <w:r>
        <w:t>La décision d'inscription doit être prise dans le respect du principe de proportionnalité (individuelle) (art. 21 du règlement et arrêt du Tribunal fédéral 6B_932/2021 du 7 septembre 2022 consid. 1.8.1). 3.2. En l'espèce, la condamnation du prévenu pour infraction grave à la LStup entraîne son expulsion obligatoire de Suisse. Le prévenu ne s'y est pas opposé. Au demeurant, il n'existe aucun intérêt privé qui rendrait la mesure d'expulsion disproportionnée ou qui serait prépondérant face à l'intérêt public manifeste à éloigner du territoire un individu récidiviste en matière d'infractions à la LStup. Son expulsion sera dès lors ordonnée pour une durée de 5 ans dans la mesure où rien ne justifie de s'écarter du minimum légal. L'inscription de l'expulsion prononcée dans le système d'informations Schengen sera ordonnée, les conditions d’une telle inscription étant manifestement réalisées compte tenu de la gravité de l'infraction dont il a été reconnu coupable, passible d'une peine privative de liberté bien supérieure au seuil fixé pour considérer qu'un prévenu représente "une menace pour l'ordre public ou la sécurité publique ou nationale", sans compter que le prévenu n'a aucune attache avec un des Etats de l'espace Schengen. Inventaires, indemnisation et frais 4.1.1. L'art. 69 CP dispose qu'alors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4.1.2. L'art. 70 al. 1 CP indique quant à lui que le juge prononce la confiscation des valeurs patrimoniales qui sont le résultat d’une infraction ou qui étaient destinées à décider ou à récompenser l'auteur d’une infraction, si elles ne doivent pas être restituées au lésé en rétablissement de ses droits. 4.1.3. Aux termes de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4.2. En l'espèce, l'argent figurant sous chiffre 1 de l'inventaire du 8 juillet 2022 sera restitué au prévenu, dans la mesure ou aucun lien avec le trafic de stupéfiants ne peut être établi et qu'une partie lui a déjà été restituée à titre humanitaire. Les téléphones portables seront confisqués et mis hors d'usage, dans la mesure où il s'agit des téléphones utilisés dans le cadre du trafic de stupéfiants tout comme la drogue qui sera confisquée et détruite.</w:t>
      </w:r>
    </w:p>
    <w:p>
      <w:r>
        <w:t>- 21 -</w:t>
      </w:r>
    </w:p>
    <w:p>
      <w:r>
        <w:t>P/17416/2023</w:t>
      </w:r>
    </w:p>
    <w:p>
      <w:r>
        <w:t>Les valeurs patrimoniales figurant sous chiffre 7 de l'inventaire du 9 août 2023 seront séquestrées et confisquées, vu leur provenance illicite en lien avec le trafic de stupéfiants. 5. Vu le verdict de culpabilité, les frais de la procédure, qui s'élèvent à CHF 7'306.- y compris un émolument de jugement de CHF 1'500.-, seront mis à la charge du prévenu (art. 426 al. 1 CPP). 6. Le défenseur d'office sera indemnisé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