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JTCO/62/2022 vom 12. Mai 2022</w:t>
      </w:r>
    </w:p>
    <w:p>
      <w:r>
        <w:t>GE Cour de justice, 2022-05-12, FR</w:t>
      </w:r>
    </w:p>
    <w:p>
      <w:r>
        <w:rPr>
          <w:b/>
        </w:rPr>
        <w:t xml:space="preserve">Quelle: </w:t>
      </w:r>
      <w:r>
        <w:t>https://mcp.opencaselaw.ch/entscheid/ge_gerichte_JTCO_62_2022</w:t>
      </w:r>
    </w:p>
    <w:p>
      <w:r>
        <w:t>FR: GE_GERICHTE JTCO/62/2022 du 12 mai 2022</w:t>
      </w:r>
    </w:p>
    <w:p>
      <w:r>
        <w:t>IT: GE_GERICHTE JTCO/62/2022 del 12 maggio 2022</w:t>
      </w:r>
    </w:p>
    <w:p>
      <w:pPr>
        <w:pStyle w:val="Heading2"/>
      </w:pPr>
      <w:r>
        <w:t>Erwägungen</w:t>
      </w:r>
    </w:p>
    <w:p>
      <w:r>
        <w:rPr>
          <w:b/>
        </w:rPr>
        <w:t>E. 1</w:t>
      </w:r>
    </w:p>
    <w:p>
      <w:r>
        <w:t>ad art. 66a). 7.1.2. Conformément à l'art. 66a al. 2 CP qui traite du cas de rigueur,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 du Tribunal fédéral 6B_965/2018 du 15 novembre 2018 consid. 4.2).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(cf. ATF 144 IV 332 consid. 3.3.2; arrêts du Tribunal fédéral 6B_1117/2018 du 11 janvier 2019 consid. 2.3.1; 6B_371/2018 du 21 août 2018 consid. 2.4 et 2.5 et les références citées). Le droit au respect de la vie privée et familiale est garanti par l'art. 8 CEDH, lequel dispose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Les critères déterminants mis en exergue</w:t>
      </w:r>
    </w:p>
    <w:p>
      <w:r>
        <w:t>- 55 -</w:t>
      </w:r>
    </w:p>
    <w:p>
      <w:r>
        <w:t>P/24075/2020</w:t>
      </w:r>
    </w:p>
    <w:p>
      <w:r>
        <w:t>par la jurisprudence rendue sur l'art. 8 CEDH sont applicables à la pesée des intérêts de l'art. 66a al. 2 CP: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1er décembre 2016 consid. 5.2; GRODECKI, Nouveautés en droit des sanctions: de la peine pécuniaire à l'expulsion, Conférence organisée par le Comité de la Société genevoise de droit et de législation, janvier 2017; AARP/179/2017 du 30 mai 2017 consid. 3.1.3). 7.1.3. A teneur de l'art. 20 de l'Ordonnance sur la partie nationale du Système d'information Schengen (N-SIS) et sur le bureau SIRENE du 8 mars 2013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7.2.1. En l'espèce, s'agissant du prévenu Z______, l'expulsion est obligatoire au vu de la tentative de meurtre et de l'agression retenues. L'intérêt à l'expulsion est très important au vu de la gravité des faits, le prévenu ayant agi à deux reprises à quelques mois d'intervalle et s'en étant pris à des biens fondamentaux, soit ceux de la vie et de l'intégrité corporelle. Il n'est au bénéfice d'aucun titre de séjour en Suisse. Il n'est pas intégré en Suisse, ne maîtrise pas le français et ne travaille pas. Il n'a pas d'enfant. Il a vécu dans son pays d'origine les vingt premières années de sa vie et se trouvait en Suisse depuis 5 ans au moment de la commission des faits. Il n'a pas rendu vraisemblable qu'un retour dans son pays le mettrait concrètement en danger ou dans une situation personnelle grave. Au regard de l'ensemble de ces éléments, il y a lieu de retenir que l'intérêt public à son expulsion l'emporte amplement sur son intérêt privé à demeurer en Suisse. Il sera ainsi expulsé pour une durée de 5 ans. Compte tenu de la gravité des faits, des infractions retenues en conséquence, de l'antécédent spécifique et récent du prévenu pour des infractions de violence, de l'absence de liens démontrés du prévenu avec d'autres pays européens, l'inscription de l'expulsion au registre SIS apparaît proportionnée et sera ainsi ordonnée. 7.2.2. S'agissant du prévenu X______, l'expulsion est obligatoire au vu de la tentative de meurtre et de la tentative de lésions corporelles graves retenues.</w:t>
      </w:r>
    </w:p>
    <w:p>
      <w:r>
        <w:t>- 56 -</w:t>
      </w:r>
    </w:p>
    <w:p>
      <w:r>
        <w:t>P/24075/2020</w:t>
      </w:r>
    </w:p>
    <w:p>
      <w:r>
        <w:t>L'intérêt à l'expulsion est important au vu de la gravité des faits, le prévenu s'en étant pris à des biens fondamentaux, soit ceux de la vie et de l'intégrité corporelle. Il n'est au bénéfice d'aucun titre de séjour en Suisse. Il n'est pas intégré en Suisse, ne maîtrise pas le français et ne travaille pas. Il n'a pas d'enfant. Il a vécu dans son pays d'origine les 24 premières années de sa vie où se trouvent sa mère et sa grand-mère. Il vivait en Suisse depuis une année au moment de la commission des faits. Il n'a pas rendu vraisemblable qu'un retour dans son pays le mettrait concrètement en danger ou dans une situation personnelle grave. Au regard de l'ensemble de ces éléments, il y a lieu de retenir que l'intérêt public à son expulsion l'emporte à l'évidence sur son intérêt privé à demeurer en Suisse. Il sera ainsi expulsé pour une durée de 5 ans. Compte tenu de la gravité des faits, de l'absence de liens démontrés du prévenu avec d'autres pays européens, l'inscription de l'expulsion au registre SIS apparaît proportionnée et sera ainsi ordonnée. Conclusions civiles 8.1.1. En vertu de l'article 126 let. a CPP, le Tribunal statue également sur les conclusions civiles présentées lorsqu'il rend un verdict de culpabilité à l'encontre du prévenu. 8.1.2. La partie plaignante peut faire valoir ses conclusions civiles déduites de l'infraction par adhésion à la procédure (art. 122 al. 1 CPP).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8.1.3. Aux termes de l'art. 47 CO, le juge peut, en tenant compte de circonstances particulières, allouer à la victime de lésions corporelles une indemnité équitable à titre de réparation morale.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En raison de sa nature, l'indemnité pour tort moral, destinée à réparer un dommage qui ne peut que difficilement être réduit à une simple somme d'argent, échappe à toute fixation</w:t>
      </w:r>
    </w:p>
    <w:p>
      <w:r>
        <w:t>- 57 -</w:t>
      </w:r>
    </w:p>
    <w:p>
      <w:r>
        <w:t>P/24075/2020</w:t>
      </w:r>
    </w:p>
    <w:p>
      <w:r>
        <w:t>selon des critères mathématiques, de sorte que son évaluation en chiffres ne saurait excéder certaines limites. L'indemnité allouée doit toutefois être équitable (ATF 130 III 699 consid. 5.1 et les références citées). Statuant selon les règles du droit et de l'équité (art. 4 CC), le juge dispose d'un large pouvoir d'appréciation (ATF 125 III 412 consid. 2a). Toute comparaison avec d'autres affaires doit intervenir avec prudence, dès lors que le tort moral touche aux sentiments d'une personne déterminée dans une situation donnée et que chacun réagit différemment face au malheur qui le frappe. Il est ainsi particulièrement hasardeux de mettre en parallèle les souffrances vécues par des victimes d'infractions contre l'intégrité corporelle, même lorsque les circonstances peuvent apparaître à première vue semblables. Une comparaison avec d'autres cas similaires peut cependant, suivant les circonstances, constituer un élément d'orientation utile (AARP/167/2020 consid.4.4.2 du 29 avril 2020 et les références citées). 8.2.1. En l'espèce, U______ a conclu à ce que Z______ et X______ soient condamnés à lui verser une indemnité de CHF 30'000.- avec intérêt à 5% l'an dès le 12 décembre 2020 pour le tort moral subi. Les lésions physiques subies par le plaignant à l'époque des faits sont indéniables et attestées par les éléments du dossier. Il a également bénéficié d'un suivi psychothérapeutique pour des souffrances psychiques et notamment une dépression. Le plaignant a failli mourir et a dû être hospitalisé à deux reprises. L'amputation de sa veine jugulaire a entraîné des complications et aura des conséquences toute sa vie durant. Les séquelles physiques et psychiques alléguées sont documentées. Au vu de la gravité de l'atteinte subie et de la pratique jurisprudentielle en la matière, un montant de CHF 25'000.- apparaît approprié. Partant, Z______ et X______ seront condamnés, conjointement et solidairement, à payer à U______ CHF 25'000.-, avec intérêts à 5% dès le 12 décembre 2020, à titre de réparation du tort moral. 8.2.2. V______ a conclu à ce que X______ soit condamné à lui verser une indemnité de CHF 5'000.- avec intérêts à 5% l'an dès les 12 décembre 2020 pour le tort moral subi. Les lésions physiques subies par le plaignant à l'époque des faits sont indéniables et attestées par les éléments du dossier. S'agissant des séquelles physiques et/ou psychiques alléguées, celles-ci n'ont pas été documentées. Pour autant, à l'audience de jugement, le plaignant a néanmoins expliqué de façon convaincante que, sur le plan physique, il avait du mal à lever le bras et souffrait des conséquences des actes du prévenu X______. Au vu de la gravité de l'atteinte subie et de la pratique jurisprudentielle en la matière, le montant du tort moral réclamé apparaît ainsi approprié. Partant, il sera fait droit aux conclusions civiles formulées par V______.</w:t>
      </w:r>
    </w:p>
    <w:p>
      <w:r>
        <w:t>- 58 -</w:t>
      </w:r>
    </w:p>
    <w:p>
      <w:r>
        <w:t>P/24075/2020</w:t>
      </w:r>
    </w:p>
    <w:p>
      <w:r>
        <w:t>Inventaires, indemnisations et frais 9.1. Selon l'art. 69 al. 1 et 2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En vertu de l'art. 267 al.1 et 3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9.2. Le Tribunal ordonnera la confiscation et la destruction des couteaux, de la drogue ainsi que des vêtements à l'exception de ceux appartenant à Z______ et B______ qui leur seront restitués. Z______ se verra également restituer son téléphone. Le téléphone portable ainsi que le chargeur de AD______ lui seront restitués. 10. Les indemnités dues aux défenseurs d'office seront fixées conformément à l'art. 135 CPP. 11. Enfin, compte tenu du verdict de culpabilité, les conclusions en indemnisation de Z______ et de X______ seront rejetées (art. 429 al. 1 a contrario CPP). En application de l'art. 426 al. 1 CPP, les frais de la procédure, qui s'élèvent au total à CHF 55'303.95, y compris un émolument de jugement de CHF 3'000.-, seront mis à la charge des prévenus et répartis en fonction des actes d'instruction qui ont découlé des infractions qui leur étaient reprochées et qui ont été retenues. Ces frais seront supportés à raison de 46% s'agissant de Z______ soit à hauteur de CHF 25'439.80, de 40% s'agissant de X______ soit à hauteur de CHF 22'121.45, de 6% s'agissant d'Y______ soit à hauteur de CHF 3'318.30, de 6% s'agissant de W______ soit à hauteur de CHF 3'318.30, de 1% s'agissant de V______ soit à hauteur de CHF 553.05 et de 1% s'agissant de U______ soit à hauteur de CHF 553.05.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