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JTCO/53/2018 vom 30. April 2018</w:t>
      </w:r>
    </w:p>
    <w:p>
      <w:r>
        <w:t>GE Cour de justice, 2018-04-30, FR</w:t>
      </w:r>
    </w:p>
    <w:p>
      <w:r>
        <w:rPr>
          <w:b/>
        </w:rPr>
        <w:t xml:space="preserve">Quelle: </w:t>
      </w:r>
      <w:r>
        <w:t>https://mcp.opencaselaw.ch/entscheid/ge_gerichte_JTCO_53_2018</w:t>
      </w:r>
    </w:p>
    <w:p>
      <w:r>
        <w:t>FR: GE_GERICHTE JTCO/53/2018 du 30 avril 2018</w:t>
      </w:r>
    </w:p>
    <w:p>
      <w:r>
        <w:t>IT: GE_GERICHTE JTCO/53/2018 del 30 aprile 2018</w:t>
      </w:r>
    </w:p>
    <w:p>
      <w:pPr>
        <w:pStyle w:val="Heading2"/>
      </w:pPr>
      <w:r>
        <w:t>Erwägungen</w:t>
      </w:r>
    </w:p>
    <w:p>
      <w:r>
        <w:rPr>
          <w:b/>
        </w:rPr>
        <w:t>E. 1</w:t>
      </w:r>
    </w:p>
    <w:p>
      <w:r>
        <w:t>CP). 5.1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elle ne joue qu'un rôle de substitution de la confiscation en nature et ne doit donc, par rapport à celle-ci, engendrer ni avantage ni inconvénient (ATF 124 I 6 consid. 4b/bb; 123 IV 70 consid. 3). En raison de son caractère subsidiaire, la créance compensatrice ne peut être ordonnée que si, dans l'hypothèse où les valeurs patrimoniales auraient été disponibles, la confiscation eût été prononcée : elle est alors soumise aux mêmes</w:t>
      </w:r>
    </w:p>
    <w:p>
      <w:r>
        <w:t>- 57 -</w:t>
      </w:r>
    </w:p>
    <w:p>
      <w:r>
        <w:t>P/5202/2012 conditions que la confiscation. Néanmoins, un lien de connexité entre les valeurs saisies et l'infraction commise n'est pas requis (arrêt 1B_326/2013 du 6 mars 2014 consid. 4.1.2 et les références citées). 5.2 Si les EUR 100'000.- perçus par C______ à titre de rémunération pour ses services par D______ avaient été encore disponibles, le Tribunal aurait ordonné leur confiscation. Il se justifie dès lors de condamner C______ au paiement d’une créance compensatrice de CHF 128'000.-, correspondant à la contre-valeur d’EUR 100'000.- au cours minimal de 1.28 applicable le 28 janvier 2011, date de réception des fonds sur le compte de l’intéressé auprès de AE______. Aucune mesure de confiscation ne sera en revanche ordonnée, en particulier pas sur les avoirs de E______, qui n’est pas concerné par les faits à l’origine de la présente procédure pénale, ni sur ceux de D______. Il sera rappelé, à cet égard, que les avoirs en question font l’objet d’un séquestre pénal qui a été ordonné par le Ministère public zurichois, séquestre qui déploie toujours ses effets à teneur du dossier. Quant à l’ordonnance du Ministère public du 7 mars 2017, elle a été annulée dans son intégralité par la Chambre pénale de recours, quand bien même le recours de B______ ne portait que sur l’ordre de dépôt. 6.1.1 La partie plaignante peut faire valoir des conclusions civiles déduites de l'infraction par adhésion à la procédure (art. 122 al. 1 CPP), l'autorité judiciaire saisie de la cause pénale jugeant les conclusions civiles indépendamment de leur valeur litigieuse (art. 124 al. 1 CPP). La personne qui est subrogée de par la loi aux droits du lésé n'est habilitée qu'à introduire une action civile et ne peut se prévaloir que des droits de procédure qui se rapportent directement aux conclusions civiles. 6.1.2 Le droit international privé suisse de la faillite repose sur le principe " assoupli " de la territorialité, cet " assouplissement " consistant dans le fait que les conditions d’une coopération entre Etats sont données par le biais de la reconnaissance du jugement de faillite selon l’art. 166 LDIP (ATF 137 III 570 c. 2 et les réf.). Pour le surplus, les actes de puissance publique de sujets de droit étrangers sont interdits en Suisse (F. WALTER, Paulianische Anfechtungsansprüche im internationalen Verhältnis - ausgewählte Probleme, in : Internationales Zivilprozess- und Verfahrensrecht V, 2005, pp. 79 ss, 96). Tombent dans cette catégorie les actes de poursuite (ATF 129 III 683 consid. 5.3, JdT 2004 II 111) ainsi que les mesures de réalisation dans la faillite (ATF 106 III 79 consid. 4, JdT 1982 II 44, relatif à la réalisation d’actifs par une vente de gré à gré). La reconnaissance en Suisse d’une décision de faillite étrangère selon l’art. 166 LDIP a, pour le patrimoine du débiteur sis en Suisse, les effets de la faillite tels que les prévoit le droit suisse, sauf dispositions contraires de la LDIP (art. 170 al. 1 LDIP). La procédure diligentée en Suisse est appelée faillite " ancillaire ", " mini-faillite " ou encore " faillite- LDIP " (ATF 137 III 631 consid. 2.3.2, JdT 2012 II p. 451ss). L'administration de la</w:t>
      </w:r>
    </w:p>
    <w:p>
      <w:r>
        <w:t>- 58 -</w:t>
      </w:r>
    </w:p>
    <w:p>
      <w:r>
        <w:t>P/5202/2012 faillite étrangère ne peut pas intervenir ni procéder à des actes d'exécution en Suisse (ATF 129 III 683, 109 III 83). 6.1.3 Les créanciers cessionnaires d'une masse en faillite (art. 260 LP) agissent en vertu d'une forme de mandat procédural (Prozessführungsrecht), qui leur permet de faire valoir les droits de la masse, à leurs propres risques et périls ; la masse reste, toutefois, titulaire du droit matériel invoqué en justice. Il en découle qu'un créancier cessionnaire, ès qualité, ne peut pas se constituer partie plaignante dans la procédure pénale; l'art. 260 LP ne constituant pas un cas de subrogation légale, le créancier cessionnaire ne peut pas non plus se prévaloir de l'art. 121 al. 2 CPP pour agir dans la procédure pénale (ATF 140 IV 155 consid. 3.4.5; ACPR/335/2014 du 14 juillet 2014). 6.1.4 Selon la jurisprudence, lorsque la masse en faillite ancillaire renonce à réaliser une prétention, l'art. 260 LDIP s'applique et chacun des créanciers peut en demander la cession. A défaut de créanciers, la prétention peut être cédée à l'administration de la faillite étrangère (ATF 137 III 374 consid. 3 et les références citées). 6.2 Les conclusions civiles de A______ seront rejetées. Il ressort en effet du dossier qu’ayant été directement lésée par les infractions visées par la présente procédure, elle était habilitée, de ce fait, à y participer comme demanderesse au pénal. Sur le plan civil, la situation est différente. D’une part la cession des droits de la masse selon l’art. 260 LP constitue un cas de cession volontaire et non légal et, en tant que tel, il ne tombe pas dans le champ d’application de l’art. 121 al. 2 CPP, de sorte qu’il n’est pas possible de faire valoir, dans le cadre d’une procédure pénale, les droits civils cédés par une masse en faillite. D’autre part, la FINMA n’a pas cédé à A______ en faillite, mais à son liquidateur, soit en dernier lieu à L______, les droits que la masse de la faillite ancillaire a renoncé à faire valoir. En toute hypothèse et en l’état du dossier, le dommage de A______ ne peut pas être établi, dès lors qu’en l’absence d’une vue complète des flux de fonds, il ne saurait être calculé sur la seule base de la valeur des titres transférés sur le compte de D______ auprès de B______. A cela s’ajoute le fait que la condition du lien de causalité naturelle entre le dommage subi par A______ et les actes illicites fondant la condamnation de C______ n’est pas réalisée, faute de lien direct entre la survenance du premier et les agissements du second. 7.1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Si elle ne s'acquitte pas de cette obligation, l'autorité pénale n'entre pas en matière sur la demande (al. 2).</w:t>
      </w:r>
    </w:p>
    <w:p>
      <w:r>
        <w:t>- 59 -</w:t>
      </w:r>
    </w:p>
    <w:p>
      <w:r>
        <w:t>P/5202/2012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6B_965/2013 du 3 décembre 2013 consid. 3.1.1; 6B_159/2012 du 22 juin 2012 consid. 2.3). En particulier, les démarches doivent apparaître nécessaires et adéquates pour la défense du point de vue de la partie plaignante raisonnable (arrêt 6B_159/2012 du 22 juin 2012 consid. 2.3). 7.2.1 En ce qui concerne les prétentions articulées par A______ en lien avec l’art. 433 CPP, le Tribunal retiendra qu’elle n’a obtenu que partiellement gain de cause, notamment eu égard au rejet de ses conclusions civiles. Il apparait par ailleurs, à la lecture de sa note d’honoraires, qu’elle a eu recours aux services d’au moins cinq avocats différents au sein de la même Etude, sans que l’intervention simultanée de tous ces conseils apparaisse nécessaire. La notion de juste indemnité au sens de l’art. 433 CPP laissant un large pouvoir d’appréciation au juge, conformément à la jurisprudence rappelée ci-dessus, l'indemnité allouée à A______ sera arrêtée à CHF 30'000.-, ce qui correspond à un peu plus de 66 heures d’activité, pour la période de cinq mois visée par la note d’honoraires, au tarif horaire usuel de CHF 450.- reconnu pour un chef d’Etude à Genève à teneur de la jurisprudence (arrêt 6B_392/2013 du 4 novembre 2013 consid. 2.3). 7.2.2 Le Tribunal n’entrera en revanche pas en matière sur les conclusions visant à l’octroi d’une indemnité articulées par B______, qui n'a pas satisfait à son obligation de chiffrer et de justifier ses prétentions. En effet, la simple référence à sa présence en audience et au travail effectué sur le dossier, telle qu’énoncée dans son courrier du 25 avril 2018, ne satisfait pas à l’exigence de justification prévue par la loi, dès lors qu’en l’absence de relevé détaillé d’activité, il est impossible au Tribunal de céans de trancher en toute connaissance de cause les prétentions articulées. 8. Au vu de l’acquittement de C______ pour deux des cinq faux dans les titres reprochés, il sera condamné au paiement des deux tiers des frais de la procédure, dont le solde sera laissé à la charge de l’Etat (art. 426 al. 1 CPP).</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