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JTCO/4/2025 vom 9. Januar 2025</w:t>
      </w:r>
    </w:p>
    <w:p>
      <w:r>
        <w:t>GE Cour de justice, 2025-01-09, FR</w:t>
      </w:r>
    </w:p>
    <w:p>
      <w:r>
        <w:rPr>
          <w:b/>
        </w:rPr>
        <w:t xml:space="preserve">Quelle: </w:t>
      </w:r>
      <w:r>
        <w:t>https://mcp.opencaselaw.ch/entscheid/ge_gerichte_JTCO_4_2025</w:t>
      </w:r>
    </w:p>
    <w:p>
      <w:r>
        <w:t>FR: GE_GERICHTE JTCO/4/2025 du 9 janvier 2025</w:t>
      </w:r>
    </w:p>
    <w:p>
      <w:r>
        <w:t>IT: GE_GERICHTE JTCO/4/2025 del 9 gennaio 2025</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suisse (RS 312.0 ;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6B_792/2022 du 16 janvier 2024 consid. 1.1.2 ; 6B_924/2022 du 13 juillet 2023 consid. 2.1). Il est notoire que les victimes d'abus sexuels peuvent ne pas se confier dans</w:t>
      </w:r>
    </w:p>
    <w:p>
      <w:r>
        <w:t>- 16 - P/25085/2022 un premier temps et ne donner des informations sur les évènements que bien plus tard (ATF 147 IV 409 consid. 5.4.1 et 5.4.2 ; AARP/392/2023 du 20 octobre 2023 consid. 2.2).</w:t>
      </w:r>
    </w:p>
    <w:p>
      <w:r>
        <w:rPr>
          <w:b/>
        </w:rPr>
        <w:t>E. 2</w:t>
      </w:r>
    </w:p>
    <w:p>
      <w:r>
        <w:t>Des modifications des articles 187, 190 et 191 du Code pénal suisse (RS 311.0 ; CP) sont entrées en vigueur le 1er juillet 2024, lesquelles entraînent notamment un élargissement du champ d'application concernant les art. 190 et 191 CP et une aggravation de la sanction pour l'art. 187 CP. Les nouvelles dispositions n'étant pas plus favorables au prévenu (art. 2 CP), elles seront appliquées dans leur ancienne teneur, en vigueur au moment des faits. 2.1.1. Selon l'art. 187 ch. 1 al. 1 aCP, celui qui aura commis un acte d'ordre sexuel sur une personne de moins de 16 ans sera puni d’une peine privative de liberté de cinq ans au plus ou d'une peine pécuniaire. L'art. 187 CP a pour but de permettre un développement sexuel non perturbé des enfants. Il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439).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La pénétration vaginale ou anale par le pénis, les doigts ou un objet réalise ce dernier cas de figure (arrêt du Tribunal fédéral 6B_231/2020 du 25 mai 2020 consid. 3.1).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2.1.2. Selon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Le viol suppose ainsi l'emploi d'un moyen de contrainte. Il s'agit notamment de l'usage de la violence. La violence désigne l'emploi volontaire de la force physique sur la</w:t>
      </w:r>
    </w:p>
    <w:p>
      <w:r>
        <w:t>- 17 - P/25085/2022 personne de la victime dans le but de la faire céder (ATF 122 IV 97 consid. 2b).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 arrêts du Tribunal fédéral 6B_367/2021 du 14 décembre 2021 consid. 2.1 ; 6B_995/2020 du 5 mai 2021 consid. 2.1).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6B_1029/2023 du 22 février 2024 consid. 2.1 ; 6B_780/2022 du 1er mai 2023 consid. 2.2). La mise hors d'état de résister vise les cas où l'auteur administre des substances (drogue/psychotropes, somnifères, médicaments, etc.), ce qui dispense de violence, de menaces ou d'autres moyens de pression pour agir sans le consentement de la victime (A. MACALUSO / L. MOREILLON / N. QUELOZ (éds), Commentaire romand, Code pénal II, Partie spéciale : art. 111-392 CP, Bâle 2017, N 39 ad art. 189 CP ; B. CORBOZ, Les infractions en droit suisse, Vol. I, 3ème éd., Berne 2010, N 19 ad art. 189 CP ; AARP/448/2024 du 11.12.2024 consid. 3.1.4). 2.1.3.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d'ordre sexuel (ATF 148 IV 329 consid. 5.2). Une personne endormie est sans résistance au sens de l'art. 191 CP (arrêts du Tribunal fédéral 7B_746/2023 du 30 juillet 2024 consid. 4.3.2 ; 6B_1247/2023 du 10 juin 2024 consid. 2.1.3 ; 6B_836/2023 du 18 mars 2024 consid, 2.1.3 ; 6B_1330/2022 du 3 juillet 2023 consid. 3.1.3). A la différence de la contrainte sexuelle et du viol, la victime d'un comportement visé par l'art. 191 CP est en effet incapable de discernement ou de résistance, non en raison d'une contrainte exercée par l'auteur, mais pour d'autres causes (arrêts du Tribunal</w:t>
      </w:r>
    </w:p>
    <w:p>
      <w:r>
        <w:t>- 18 - P/25085/2022 fédéral 6B_1174/2021 du 21 juin 2022 consid. 2.1 ; 6B_322/2021 du 2 mars 2022 consid. 3.3 ; 6B_215/2021 du 17 janvier 2022 consid 4.1). Sur le plan subjectif, l'infraction de l'art. 191 aCP requiert l'intention, soit notamment la connaissance par l'auteur de l'incapacité de résistance de la victime (ATF 148 IV 329 consid. 3.2 ; arrêts du Tribunal fédéral 6B_164/2022 du 5 décembre 2022 consid. 2.1 ; 6B_1174/2021 du 21 juin 2022 consid. 2.1). 2.1.4. L'art. 187 aCP protège le développement sexuel des mineurs, tandis que les art. 189 à 191 aCP protègent la libre-détermination en matière sexuelle ; ces deux infractions peuvent donc être commises en concours idéal (ATF 146 IV 153 consid. 3.5.2 ; 124 IV 154 consid. 3a ; 122 IV 97 consid. 2a ; 120 IV 194 consid. 2b).</w:t>
      </w:r>
    </w:p>
    <w:p>
      <w:r>
        <w:rPr>
          <w:b/>
        </w:rPr>
        <w:t>E. 2.2</w:t>
      </w:r>
    </w:p>
    <w:p>
      <w:r>
        <w:t>En l'espèce, les événements du 5 juin 2021 se sont déroulés quasiment à huis clos, sans témoin, de sorte que pour forger son intime conviction quant au déroulement des faits, le Tribunal dispose des déclarations des parties, qu'il doit apprécier à la lumière de leur constance et cohérence interne, ainsi qu'à l'aune des éléments matériels figurant au dossier.</w:t>
      </w:r>
    </w:p>
    <w:p>
      <w:r>
        <w:rPr>
          <w:b/>
        </w:rPr>
        <w:t>E. 2.2.1</w:t>
      </w:r>
    </w:p>
    <w:p>
      <w:r>
        <w:t>Le seul élément matériel figurant au dossier relatif aux faits est le rapport des HUG suite à la consultation de la victime la nuit des faits. Celui-ci permet d'établir d'une part, qu'il y a eu une relation sexuelle par pénétration vaginale, ce qui est corroboré par les déclarations concordantes des parties. D'autre part, vu les dermabrasions constatées, la lubrification de la partie plaignante au moment des faits n'était pas telle que décrite par le prévenu, mais conforme aux déclarations de la victime qui indique avoir ressenti de la douleur au moment de la pénétration.</w:t>
      </w:r>
    </w:p>
    <w:p>
      <w:r>
        <w:rPr>
          <w:b/>
        </w:rPr>
        <w:t>E. 2.2.2</w:t>
      </w:r>
    </w:p>
    <w:p>
      <w:r>
        <w:t>Les parties divergent dans leur description des événements de sorte qu'il convient d'aborder la question de la crédibilité de leurs déclarations respectives. Les déclarations de la plaignante à la police lors de son audition EVIG, aux HUG et aux débats sont constantes. Elle a décrit avec ses propres mots les actes qui se sont produits et qu'elle n'avait jamais éprouvés avant les soir des faits, au vu de sa virginité. Elle a décrit précisément les sensations ressenties au cours des événements, ainsi que son sentiment de honte ou de culpabilité après les faits. Elle a été constante sur le fait qu'elle ne se souvenait pas de certains faits, notamment d'avoir vomi. Cette amnésie ne saurait la discréditer, car elle peut s'expliquer par le taux d'alcoolisation avancé. Elle n'a pas accablé le prévenu. Au contraire, elle n'en pas rajouté, ni n'a prétendu qu'il aurait usé de contrainte qui auraient été utilisés à son encontre. Elle s'est laissée faire car elle était comme dans un rêve, "dans les vapes", elle voulait dormir et se trouvait dans un demi- sommeil. Les déclarations du prévenu ont beaucoup varié jusqu'aux débats. Il a d'abord contesté tout acte sexuel avant d'admettre une relation sexuelle consentie avec la mineure. Il a varié sur le déroulement des faits, hormis qu'il avait constaté que la plaignante titubait et était ivre. En revanche, s'il a été constant sur le fait que la plaignante aurait créé un jeu de séduction avec lui, ses déclarations ne sont toutefois pas crédibles. En effet, l'état d'alcoolisation de la partie plaignante, l'âge de celle-ci, ainsi que le court laps de temps</w:t>
      </w:r>
    </w:p>
    <w:p>
      <w:r>
        <w:t>- 19 - P/25085/2022 décrit entre le regard prétendument porté sur lui et le rapport sexuel, ne permettent pas d'envisager que la plaignante aurait eu un comportement séducteur tel que décrit par le prévenu. Cette hypothèse, invraisemblable, devra donc être écartée. Au demeurant, même à considérer que la plaignante aurait adopté un tel comportement, le prévenu devait se questionner sur les réelles intentions de la plaignante, vu son âge et son état d'alcoolisation. Enfin, le prévenu a varié dans la description de l'acte en lui-même. A cet égard, il est hautement invraisemblable qu'une jeune fille vierge de 13 ans adopte immédiatement une position "à quatre pattes", ce alors même qu'aucun préliminaire n'aurait eu lieu. Les circonstances dans lesquelles s'est déroulé le processus de dévoilement des faits, à savoir que la plaignante a immédiatement parlé des faits à sa mère en utilisant le terme de viol, qu'elle en a ensuite parlé, la nuit des faits aux HUG, puis en février 2022 à sa pédopsychiatre, renforcent la crédibilité de ses déclarations sincères, qui ne ressemblent en rien à des regrets suite à un rapport sexuel consenti. Le délai d'un an avant le dépôt de plainte ne remet aucunement en cause la crédibilité générale de ses déclarations. Cette durée, qui n'est pas inhabituelle dans de telles circonstances, ne permet pas de déduire un signe de l'inconsistance des accusations ; ce étant précisé que la plaignante ne voulait d'abord pas que le prévenu soit poursuivi pour ne pas l'accabler. Le Tribunal relève encore que rien ne permet de retenir que la plaignante ait pu espérer tirer un bénéfice secondaire quelconque d'un dépôt de plainte infondé contre le prévenu. Bien au contraire, il est établi que son état de santé s'est aggravé. En conséquence les faits reprochés sont établis.</w:t>
      </w:r>
    </w:p>
    <w:p>
      <w:r>
        <w:rPr>
          <w:b/>
        </w:rPr>
        <w:t>E. 2.2.3</w:t>
      </w:r>
    </w:p>
    <w:p>
      <w:r>
        <w:t>En introduisant son pénis dans le vagin de A______, le prévenu a commis un acte d'ordre sexuel sur sa victime qui était âgée de 13 ans. Il a mis en danger concrètement le développement harmonieux de la victime. Il a agi intentionnellement. Le prévenu n'est pas crédible lorsqu'il déclare qu'il pensait que la majorité sexuelle en Suisse était fixée à 14 ans. Par conséquent, le prévenu sera reconnu coupable d'actes d'ordre sexuel avec des enfants (art. 187 ch. 1 aCP).</w:t>
      </w:r>
    </w:p>
    <w:p>
      <w:r>
        <w:rPr>
          <w:b/>
        </w:rPr>
        <w:t>E. 2.2.4</w:t>
      </w:r>
    </w:p>
    <w:p>
      <w:r>
        <w:t>Sous l'angle des éléments constitutifs objectifs de l'infraction visée par l'art. 190 aCP, il n'appert pas que le prévenu aurait usé d'un moyen de contrainte prévu par la loi, soit des violences. Si la plaignante n'a jamais, de quelque manière que ce soit, initié, provoqué, suggéré ou même souhaité tout acte sexuel avec le prévenu, il n'est pour autant pas établi, ni même allégué, que le prévenu aurait eu un ascendant physique sur elle, qu'il y aurait eu une disproportion physique entre eux ou encore que des menaces auraient été proférées. La condition de la contrainte de l'art. 190 aCP n'est donc pas remplie et c'est à l'aune de l'art. 191 aCP qu'il convient encore d'examiner les faits.</w:t>
      </w:r>
    </w:p>
    <w:p>
      <w:r>
        <w:rPr>
          <w:b/>
        </w:rPr>
        <w:t>E. 2.2.5</w:t>
      </w:r>
    </w:p>
    <w:p>
      <w:r>
        <w:t>Il est établi que la victime a consommé de l'alcool en quantité durant la soirée, qu'elle titubait et qu'elle a vomi peu avant l'acte sexuel. Il ressort des rapports d'analyses toxicologiques effectués sur la plaignante lors de sa consultation aux HUG qu'elle présentait un taux d'alcoolémie de 2 g/l à 3h40 du matin. Ainsi, à l'heure des faits, son</w:t>
      </w:r>
    </w:p>
    <w:p>
      <w:r>
        <w:t>- 20 - P/25085/2022 taux avoisinait, à tout le moins, les 2,2 g/l, de sorte qu'elle présentait une intoxication sévère à l'alcool. Le prévenu savait que sa victime était fortement alcoolisée et dans un état physique tel qu'elle était vulnérable. Il a reconnu avoir vu la plaignante consommer de l'alcool, lui avoir lui-même servi de l'alcool fort et l'avoir vu tituber avant qu'elle ne vomisse. Malgré cet état, il a entretenu une relation sexuelle avec cette dernière, alors même qu'elle souhaitait dormir. Il l'a prise par surprise, alors qu'elle se trouvait à tout le moins dans un demi-sommeil, le prévenu n'ayant jamais contesté l'inactivité la partie plaignante durant l'acte. Compte-tenu de cet état, physique et psychique, la plaignante était passagèrement incapable de résistance. Son incapacité était totale au sens de la jurisprudence car, bien que n'ayant pas perdu conscience, elle ne pouvait pas, ou ne pouvait que faiblement s'opposer aux actes entrepris. Le fait qu'elle ait eu la force de se doucher avant de rejoindre son lit ne saurait démontrer qu'elle avait la capacité de s'opposer au prévenu au moment où elle s'était effondrée et étendue sur son lit. Le prévenu savait qu'elle était sous l'emprise de l'alcool et donc incapable de résistance. Il en a profité pour commettre sur elle l'acte sexuel. Il a donc agi intentionnellement. Le prévenu sera par conséquent déclaré coupable d'actes d'ordre sexuel commis sur une personne incapable de discernement ou de résistance (art. 191 aCP). 3.1.1. L'art. 115 al. 1 let. a de la loi fédérale sur les étrangers et l'intégration du 16 décembre 2005 (LEI ; RS 142.20) punit d'une peine privative de liberté d'un an au plus ou d'une peine pécuniaire quiconque contrevient aux dispositions sur l'entrée en Suisse (art. 5 LEI). Selon l'art. 5 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 ne faire l'objet d'aucune mesure d'éloignement ou d'une expulsion au sens des art. 66a ou 66a bis du Code pénal (let. d). 3.1.2. A teneur de l'art. 115 al. 1 let. b LEI, est puni d'une peine privative de liberté d'un an au plus ou d'une peine pécuniaire quiconque séjourne illégalement en Suisse, notamment après l'expiration de la durée du séjour non soumis à autorisation ou du séjour autorisé. 3.2. En l'espèce, s'agissant de l'entrée et du séjour illégal reprochés au prévenu, la période pénale antérieure au 9 janvier 2018 sera classée, car prescrite, au vu du délai de prescription de 7 ans (art. 97 al. 1 let. d CP). Pour le surplus, il est établi et admis que depuis le 9 janvier 2018, le prévenu, titulaire d'un passeport colombien, a séjourné en Suisse sans être au bénéfice des autorisations nécessaires. En conséquence, le prévenu sera reconnu coupable de séjour illégal (art. 115 al. 1 let. b LEI).</w:t>
      </w:r>
    </w:p>
    <w:p>
      <w:r>
        <w:t>- 21 - P/25085/2022 Peine 4.1.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4.2. La faute du prévenu est très grave. Il s'en est pris à l'intégrité sexuelle et au bon développement sexuel de la plaignante, alors qu'elle était âgée de 13 ans seulement et qu'il la connaissait depuis 2015. Son mobile est purement égoïste. Il a agi pour assouvir ses pulsions sexuelles. Il n'a pas hésité à entretenir une relation sexuelle avec une jeune fille mineure, laquelle était hors d'état de résister en raison de son état d'alcoolisation avancé. Sa collaboration n'a pas été bonne, puisqu'il a varié à de nombreuses reprises dans ses déclarations. Il a rejeté la faute sur sa victime, en lui faisant porter la responsabilité de ses actes par son attitude séductrice. Sa prise de conscience est mitigée. S'il dit éprouver des regrets, il a présenté une lettre d'excuse aux débats tout en persistant à nier les faits reprochés. Il semble toutefois sensible à la douleur de la plaignante. Sa situation personnelle n'explique pas ses agissements. Il s'en est pris à une jeune fille qu'il connaissait et qui était une amie de la famille. Il a agi lâchement avec une mineure sans expérience, vulnérable, sans prendre de précautions pour éviter le risque d'une grossesse, ni la transmission d'une maladie sexuellement transmissible, qu'elle a au demeurant contractée en conséquence. Les conséquences de ses actes sont graves, même en tenant compte des problématiques connues de la victime antérieurement aux faits, qui perdurent à ce jour. Sa responsabilité est pleine et entière. Il y a concours d'infractions, facteur aggravant de la peine. Il n'y a pas d'antécédent, facture neutre sur la fixation de la peine. Au vu de ce qui précède, une peine privative de liberté de 4 ans sera prononcée. Interdiction d'exercer une activité 5.1. Selon l'art. 67 al. 3 CP, s'il a été prononcé contre l'auteur une peine pour actes d'ordre sexuel avec des enfants (art. 187 CP) (let. b) et pour actes d'ordre sexuel commis sur une personne incapable de discernement ou de résistance (art. 191 CP) si la victime était mineure (let. c), le juge lui interdit à vie l'exercice de toute activité professionnelle et de toute activité non professionnelle organisée impliquant des contacts réguliers avec des mineurs.</w:t>
      </w:r>
    </w:p>
    <w:p>
      <w:r>
        <w:t>- 22 - P/25085/2022 5.2. Le crime commis au préjudice de la plaignante, mineure au moment des faits, commande à lui seul le prononcé de cette mesure. Par conséquent, il sera fait interdiction à vie au prévenu l'exercice de toute activité professionnelle et de toute activité non professionnelle organisée impliquant des contacts réguliers avec des mineurs. Expulsion 6.1.1. A teneur de l'art. 66a al. 1 let. h CP, le juge expulse de Suisse l'étranger qui est condamné pour actes d'ordre sexuel avec des enfants (art. 187 ch. 1 CP) et commis sur une personne incapable de discernement ou de résistance (art. 191 CP), quelle que soit la quotité de la peine prononcée à son encontre, pour une durée de cinq à quinze ans. 6.1.2.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6.1.3.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L'art. 24 al. 2 let. a du règlement SIS II n'exige ni une condamnation à une peine privative de liberté d'au moins un an, ni une déclaration de culpabilité pour une infraction passible d'une peine privative de liberté d'au moins un an. Il suffit que l'infraction en question prévoie une peine maximale d'un an d'emprisonnement ou plus. Toutefois, il convient toujours de vérifier, au sens d'une condition cumulative, si la personne concernée représente une menace pour la sécurité ou l'ordre publics (art. 24 paragraphe 2 du règlement SIS II). L'hypothèse d'un tel danger ne doit pas être soumise à des exigences trop élevées. Il n'est pas exigé que "le comportement individuel de la personne concernée constitue une menace réelle, actuelle et suffisamment grave, affectant un intérêt fondamental de la société". Le fait que le pronostic légal ait conclu à l'absence de risque concret de récidive et que la peine ait été prononcée avec sursis ne</w:t>
      </w:r>
    </w:p>
    <w:p>
      <w:r>
        <w:t>- 23 - P/25085/2022 s'oppose pas à un signalement de l'expulsion dans le SIS (arrêt du Tribunal fédéral 6B_834/2021 du 5 mai 2022 consid. 2.2.2). 6.2. En l'espèce, les infractions commises par le prévenu représentent un double cas d'expulsion obligatoire. Bien que le prévenu soit arrivé en Suisse il y a 10 ans, alors qu'il était encore mineur, il ne dispose pas d'une autorisation de séjour. Il y évolue favorablement et a un emploi, sans qu'il n'apparaisse pour autant qu'il ait des liens professionnels spécialement intenses avec la Suisse, notablement supérieurs à ceux qui résultent d'une intégration ordinaire. Ses liens sociaux, dont on ne sait pas grand-chose, apparaissent neutres. Il est célibataire et sans enfant. Des possibilités de réintégration dans l'Etat de provenance existent. En effet, le prévenu dispose d'une formation, parle la langue de son pays d'origine et en connaît la culture. Certains de ses proches y vivent. Son état de santé est bon et il n'a pas d'antécédent judiciaire. Au vu de l'ensemble des circonstances, il n'appert pas qu'un retour en Colombie mettrait le prévenu dans une situation personnelle grave. Compte tenu de la gravité du crime commis, il existe un intérêt public à ce qu'il soit éloigné de Suisse. Cet intérêt public l'emporte sur son intérêt privé à demeurer dans notre pays. Il n'y a donc pas lieu de déroger à la règle de l'expulsion obligatoire et d'appliquer la clause de rigueur. Le prévenu sera par conséquent expulsé de Suisse pour une durée de 5 ans, qui apparaît adéquate et proportionnée. Cette expulsion sera inscrite au SIS, dès lors que les infractions aux art. 187 CP et 191 CP sont passibles d'une peine privative de liberté de plus d'un an et que le prévenu représente une menace pour la sécurité publique, en particulier sous l'angle de l'intégrité sexuelle des enfants. Conclusions civiles Dommage matériel 7.1.1.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7.1.2. Aux termes de l'art. 41 al. 1 de la loi fédérale complétant le code civil (ci-après : CO ; RS. 220), chacun est tenu de réparer le dommage qu'il cause à autrui d'une manière illicite, soit intentionnellement, soit par négligence ou imprudence. La preuve du dommage incombe au demandeur (art. 42 al. 1 CO). 7.2. Il sera fait droit à l'action civile de la plaignante à titre de réparation du dommage matériel. Les prétentions sont fondées, le prévenu y a par acquiescé.</w:t>
      </w:r>
    </w:p>
    <w:p>
      <w:r>
        <w:t>- 24 - P/25085/2022 Tort moral 8.1.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ATF 130 III 699 consid. 5.1 ; arrêts du Tribunal fédéral 6B_267/2016, 6B_268/2016, 6B_269/2016 du 15 février 2017 consid. 8.1). Statuant selon les règles du droit et de l'équité (art. 4 CC), le juge dispose d'un large pouvoir d'appréciation (ATF 132 II 117 consid. 2.2.3 in limine).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Le guide relatif à la fixation du montant de la réparation morale selon la loi sur l'aide aux victimes établi le 3 octobre 2019 par l'Office fédéral de la justice (OFJ)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et CHF 70'000.- pour les atteintes à la gravité exceptionnelle (agressions répétées et particulièrement cruelles, actes sexuels à la fréquence ou à l'intensité particulières avec un enfant sur une longue période).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 commis à six ou sept reprises par un oncle de confiance entre les 10 et 12 ans de sa nièce, ayant engendré un stress post- traumatique et affecté son développement (AARP/151/2023 du 4 mai 2023 consid. 7.2); CHF 15'000.- pour le viol d'un enfant d'environ 11 ans, incluant une fellation et une sodomie, par son professeur de guitare, lequel a entraîné des troubles alimentaires et un suivi psychologique (cf. arrêt du Tribunal fédéral 6B_970/2013 du 24 juin 2014 consid. A et 10.2).</w:t>
      </w:r>
    </w:p>
    <w:p>
      <w:r>
        <w:t>- 25 - P/25085/2022 8.2. En l'espèce, la partie plaignante a été atteinte psychiquement par les actes du prévenu. La symptomatologie est étayée par les pièces médicales, en particulier le courrier du 12 janvier 2024 du Dr M______ et par le témoignage de sa mère. Le suivi thérapeutique se poursuit à l'heure actuelle, la victime restant encore sous médication. Force est donc de constater que l'atteinte revêt une certaine gravité objective et que le tort moral est établi. Au vu de ce qui précède, le prévenu sera condamné à verser à la plaignante un montant de CHF 15'000.-, avec intérêts à 5% dès le 6 juin 2021, à titre de réparation du tort moral, équitable au vu de la souffrance endurée. Sort des biens séquestrés 9. Le Tribunal ordonnera les restitutions qui s'imposent (art. 267 al. 1 et 3 CPP). Indemnisation et frais 10. Le défenseur d'office du prévenu sera indemnisé (art. 135 CPP). 11. Compte-tenu du verdict de culpabilité prononcé à son encontre, le prévenu sera condamné aux frais de la procédure, qui s'élèvent à CHF 2'903.-, y compris un émolument de jugement de CHF 1'500.- (art. 426 al. 1 CPP).</w:t>
      </w:r>
    </w:p>
    <w:p>
      <w:r>
        <w:t>* * *</w:t>
      </w:r>
    </w:p>
    <w:p>
      <w:r>
        <w:t>- 26 - P/25085/2022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