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JTCO/32/2015 vom 6. März 2015</w:t>
      </w:r>
    </w:p>
    <w:p>
      <w:r>
        <w:t>GE Cour de justice, 2015-03-06, FR</w:t>
      </w:r>
    </w:p>
    <w:p>
      <w:r>
        <w:rPr>
          <w:b/>
        </w:rPr>
        <w:t xml:space="preserve">Quelle: </w:t>
      </w:r>
      <w:r>
        <w:t>https://mcp.opencaselaw.ch/entscheid/ge_gerichte_JTCO_32_2015</w:t>
      </w:r>
    </w:p>
    <w:p>
      <w:r>
        <w:t>FR: GE_GERICHTE JTCO/32/2015 du 6 mars 2015</w:t>
      </w:r>
    </w:p>
    <w:p>
      <w:r>
        <w:t>IT: GE_GERICHTE JTCO/32/2015 del 6 marzo 2015</w:t>
      </w:r>
    </w:p>
    <w:p>
      <w:pPr>
        <w:pStyle w:val="Heading2"/>
      </w:pPr>
      <w:r>
        <w:t>Erwägungen</w:t>
      </w:r>
    </w:p>
    <w:p>
      <w:r>
        <w:rPr>
          <w:b/>
        </w:rPr>
        <w:t>E. 2</w:t>
      </w:r>
    </w:p>
    <w:p>
      <w:r>
        <w:t>let. a aLStup (désormais art. 19 al. 2 let. a LStup; ATF 121 IV 202 consid. 2d/cc p. 206).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(arrêt 6B_390/2010 du 2 juillet 2010 consid. 1.1). 3.1.2.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L'art. 43 al. 1 CP permet par ailleurs de suspendre partiellement l'exécution d'une peine privative de liberté d'un an au moins et de trois ans au plus afin de tenir compte de façon appropriée de la faute de l'auteur. La partie à exécuter ne peut excéder la moitié de la peine (al. 2). En cas de sursis partiel à l'exécution d'une peine privative de liberté, la partie suspendue, de même que la partie à exécuter, doivent être de six mois au moins (al. 3).</w:t>
      </w:r>
    </w:p>
    <w:p>
      <w:r>
        <w:t>Pour l'octroi du sursis ou du sursis partiel,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concrètement défavorable. Il prime en cas d'incertitude (ATF 134 IV 1).</w:t>
      </w:r>
    </w:p>
    <w:p>
      <w:r>
        <w:t>- 13 -</w:t>
      </w:r>
    </w:p>
    <w:p>
      <w:r>
        <w:t>P/17533/2014 3.1.3. D'après l'art. 49 al. 1 CP, si, en raison d'un ou de plusieurs actes, l'auteur remplit les conditions de plusieurs peines de même genre, le juge le condamne à la peine de l'infraction la plus grave et l'augmente dans une juste proportion. 3.2.1. En l'espèce, le Tribunal considère que la faute du prévenu est lourde. Le trafic a porté sur une importante quantité de drogue, dont le prévenu a été le gardien. A______ a par ailleurs envoyé et dépensé EUR 2000.-, alors qu'il savait ou présumait que cet argent provenait du trafic de stupéfiants. Le prévenu a agi au mépris de la législation en vigueur dans notre pays et de la santé des consommateurs. Il a agi, poussé par l'appât du gain et avec une absence de scrupule. Le prévenu n'étant pas lui-même toxicomane, sa faute en est d'autant plus lourde. Sa situation personnelle ne justifie en rien ses agissements. Au contraire, le prévenu bénéficiait d'une formation, d'un salaire, même si celui-ci n'était pas très élevé, d'un passeport européen et d'un toit chez ses parents. Seule son interpellation suite à un incendie dans son appartement a mis fin à ses agissements. La collaboration du prévenu à l'enquête a été inexistante. Il n'a cessé de varier dans ses déclarations et n'a donné aucun élément utile permettant de confondre les autres participants du trafic. Sa prise de conscience l'est tout autant. Le prévenu n'a cessé de minimiser ses agissements, se portant en victime. Aucune circonstance atténuante au sens de l'art. 48 CP n'est réalisée. Il y a concours d'infraction. A______ n'a pas d'antécédent, ce qui est un facteur neutre pour la fixation de la peine. Il en sera toutefois tenu compte s'agissant du sursis partiel qui lui sera accordé, dans la mesure où aucun pronostic défavorable ne sera posé. 3.2.2. Le prévenu sera ainsi condamné à une peine privative de liberté de 36 mois, sous déduction de 184 jours de détention avant jugement (art. 40 CP) avec sursis partiel, la partie à exécuter étant fixée à 9 mois.</w:t>
      </w:r>
    </w:p>
    <w:p>
      <w:r>
        <w:rPr>
          <w:b/>
        </w:rPr>
        <w:t>E. 4</w:t>
      </w:r>
    </w:p>
    <w:p>
      <w:r>
        <w:t>Vu le sort de la cause, il ne sera pas fait suite aux conclusions en indemnisation pour détention injustifiée du prévenu.</w:t>
      </w:r>
    </w:p>
    <w:p>
      <w:r>
        <w:rPr>
          <w:b/>
        </w:rPr>
        <w:t>E. 5</w:t>
      </w:r>
    </w:p>
    <w:p>
      <w:r>
        <w:t>Les frais de la procédure, qui s'élèvent à CHF 16'416.40, y compris un émolument de jugement de CHF 1'500.-, seront mis à la charge de A______.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