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JTCO/12/2022 vom 27. Januar 2022</w:t>
      </w:r>
    </w:p>
    <w:p>
      <w:r>
        <w:t>GE Cour de justice, 2022-01-27, FR</w:t>
      </w:r>
    </w:p>
    <w:p>
      <w:r>
        <w:rPr>
          <w:b/>
        </w:rPr>
        <w:t xml:space="preserve">Quelle: </w:t>
      </w:r>
      <w:r>
        <w:t>https://mcp.opencaselaw.ch/entscheid/ge_gerichte_JTCO_12_2022</w:t>
      </w:r>
    </w:p>
    <w:p>
      <w:r>
        <w:t>FR: GE_GERICHTE JTCO/12/2022 du 27 janvier 2022</w:t>
      </w:r>
    </w:p>
    <w:p>
      <w:r>
        <w:t>IT: GE_GERICHTE JTCO/12/2022 del 27 gennaio 2022</w:t>
      </w:r>
    </w:p>
    <w:p>
      <w:pPr>
        <w:pStyle w:val="Heading2"/>
      </w:pPr>
      <w:r>
        <w:t>Erwägungen</w:t>
      </w:r>
    </w:p>
    <w:p>
      <w:r>
        <w:rPr>
          <w:b/>
        </w:rPr>
        <w:t>E. 18</w:t>
      </w:r>
    </w:p>
    <w:p>
      <w:r>
        <w:t>mois. La peine prononcée sera assortie du sursis, un pronostic favorable pouvant être posé. Une assistance de probation n'apparaît pas nécessaire. Il en est de même de règles de conduite, de sorte qu'il n'en sera pas prononcé.</w:t>
      </w:r>
    </w:p>
    <w:p>
      <w:r>
        <w:t>- 38 - P/6742/2021 Le sursis à la peine prononcée le 27 janvier 2016 ne sera pas révoqué compte tenu de l'ancienneté des faits et de la particularité de ceux-ci. La libération conditionnelle accordée le 14 septembre 2020 ne sera pas non plus révoquée et le prévenu B_____ ne sera dès lors pas réintégré dans le solde de peine de 10 jours. Le prévenu sera condamné à une amende de CHF 200.- pour infraction simple à la LCR. Une amende de CHF 200.- sera également prononcée à son encontre en lien avec la consommation de stupéfiants. 5.1. En qualité de partie plaignante, le lésé peut faire valoir des conclusions civiles déduites de l'infraction par adhésion à la procédure pénale (art. 122 al. 1 CPP). A teneur de l'art. 126 al. 1 CPP, le tribunal statue également sur les conclusions civiles présentées, lorsqu'il rend un verdict de culpabilité à l'encontre du prévenu (let. a). L'art. 49 al. 1 CO dispose que celui qui subit une atteinte illicite à sa personnalité a droit à une somme d'argent à titre de réparation morale, pour autant que la gravité de l'atteinte le justifie et que l'auteur ne lui ait pas donné satisfaction autrement. 5.2. La partie plaignante D______ a conclu à ce que le prévenu A______ soit condamné à lui verser une indemnité de CHF 1'500.- pour le tort moral subi. Ses conclusions seront rejetées dans la mesure où, si celle-ci a été effrayée par les menaces proférées par le prévenu et atteinte dans son honneur par ses injures, les conséquences sur la santé de la partie plaignante n'atteignent pas le niveau de souffrance suffisant pour justifier l'allocation d'un tort moral. 6.1. 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(arrêt 6B_864/2015 du 1er novembre 2016 consid. 3.2;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6B_864/2015 du 1er novembre 2016 consid. 3.2 et 6B_965/2013 du 3 décembre 2013 consid. 3.1.1). En particulier, les démarches doivent apparaître nécessaires et adéquates pour la défense raisonnable du point de vue de la partie plaignante (arrêts 6B_864/2015 du 1er novembre 2016 consid. 3.2 et 6B_159/2012 du</w:t>
      </w:r>
    </w:p>
    <w:p>
      <w:r>
        <w:rPr>
          <w:b/>
        </w:rPr>
        <w:t>E. 22</w:t>
      </w:r>
    </w:p>
    <w:p>
      <w:r>
        <w:t>juin 2012 consid. 2.3).</w:t>
      </w:r>
    </w:p>
    <w:p>
      <w:r>
        <w:t>- 39 - P/6742/2021 6.2. En l'occurrence, le prévenu doit être condamné à verser un montant correspondant aux honoraires d'avocat de la partie plaignante D______, lesquels seront réduits d'un tiers afin de tenir compte de l'acquittement de voies de fait. Le prévenu sera condamné à verser CHF 2'102.80 à titre de remboursement des honoraires d'avocat de Stéphanie D______. 7. Les défenseurs d'office seront indemnisés, conformément à l'art. 135 CPP. 8. Compte tenu du verdict de culpabilité et en application de l'art. 426 al.1 CPP, les frais de la procédure, qui s'élèvent à CHF 18'035.00 et qui comprennent un émolument de jugement de CHF 2'000.-, seront mis à la charge des prévenus à raison d'un tiers chacun.</w:t>
      </w:r>
    </w:p>
    <w:p>
      <w:r>
        <w:t>- 40 - P/6742/2021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