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JTCO/102/2021 vom 28. September 2021</w:t>
      </w:r>
    </w:p>
    <w:p>
      <w:r>
        <w:t>GE Cour de justice, 2021-09-28, FR</w:t>
      </w:r>
    </w:p>
    <w:p>
      <w:r>
        <w:rPr>
          <w:b/>
        </w:rPr>
        <w:t xml:space="preserve">Quelle: </w:t>
      </w:r>
      <w:r>
        <w:t>https://mcp.opencaselaw.ch/entscheid/ge_gerichte_JTCO_102_2021</w:t>
      </w:r>
    </w:p>
    <w:p>
      <w:r>
        <w:t>FR: GE_GERICHTE JTCO/102/2021 du 28 septembre 2021</w:t>
      </w:r>
    </w:p>
    <w:p>
      <w:r>
        <w:t>IT: GE_GERICHTE JTCO/102/2021 del 28 settembre 2021</w:t>
      </w:r>
    </w:p>
    <w:p>
      <w:pPr>
        <w:pStyle w:val="Heading2"/>
      </w:pPr>
      <w:r>
        <w:t>Erwägungen</w:t>
      </w:r>
    </w:p>
    <w:p>
      <w:r>
        <w:rPr>
          <w:b/>
        </w:rPr>
        <w:t>E. 6</w:t>
      </w:r>
    </w:p>
    <w:p>
      <w:r>
        <w:t>CP). 3.3. En l'espèce, il ressort de l'expertise psychiatrique que la responsabilité de X______ était légèrement diminuée. La faute du prévenu est très lourde. La période pénale est très courte mais les actes commis sont empreints d'une grande brutalité, relèvent de la violence gratuite, répondent à des motifs futiles et sont caractérisés par une répétition de coups contre une victime qui ne se défendait pas. Les conséquences pour la santé et la vie sociale et professionnelle de la victime sont dramatiques. La situation personnelle de X______ n'explique pas les actes commis : il est titulaire d'un permis B, instruit, en bonne santé et la stabilité dans son existence est à la portée de sa main grâce à une grand-mère soutenante, à l'appui du SPI et à l'aide de l'Hospice général. Sa collaboration à la procédure a été mauvaise. En particulier, X______ ne s'explique pas devant certains éléments présentés, arrange la réalité même devant l'expert, devient défiant voire menaçant (expert) lorsqu'on le contrarie. Le prévenu ne montre aucune prise de conscience de sa faute, il minimise les faits, accable sa victime, reste imperméable aux graves effets de ses actes sur la situation de sa victime. Il ne s'apitoie que sur son propre sort. Il ne montre aucun signe d'amendement : il n'a entrepris ni de se soigner ni de rembourser sa victime, il ne formule au demeurant ni excuse ni regrets à l'égard de A______. Les antécédents de X______ sont mauvais, répétés depuis sa minorité et marqués par des actes de violence. Il n'a pas pris la mesure de la chance d'une première renonciation à une mesure d'expulsion obligatoire. Dans le cadre de sa libération conditionnelle et quelles que soient les multiples excuses qu'il tente de se trouver, X______ n'a pas respecté les engagements qu'il promettait dans sa demande, ni les conditions mises par le TAPEM.</w:t>
      </w:r>
    </w:p>
    <w:p>
      <w:r>
        <w:t>- 23 -</w:t>
      </w:r>
    </w:p>
    <w:p>
      <w:r>
        <w:t>P/872/2020</w:t>
      </w:r>
    </w:p>
    <w:p>
      <w:r>
        <w:t>Ainsi, il a notamment abandonné un poste de travail, manqué de façon répétée des réunions, mis fin unilatéralement au suivi psychothérapeutique et refusé l'abstinence cannabique. Pendant cette période, il n'a rien construit de probant. Il est au contraire marquant de constater que le 10 janvier 2020 il ne s'est pas rendu à un rendez-vous prévu dans le cadre du suivi de sa libération conditionnelle et que, le soir même, il sort faire la "fête" qui le conduit, au petit matin, à détruire la santé de A______. Le risque de récidive est élevé, comme le relèvent les experts. Les récents progrès réalisés en prison par l'absence de nouvelles sanctions disciplinaires, par l'accomplissement d'un travail, par la pratique du sport et par une formation qui vient de débuter ne changent en rien ce constat, d'autant plus que X______ persiste à nier la nécessité d'un traitement psychothérapeutique. Le reste n'est que déclarations d'intentions, au demeurant similaires à celles déjà formulées, en particulier dans le cadre de sa demande de libération conditionnelle, avec le résultat que l'on sait. Au vu, en outre, de la violation crasse par X______ des conditions de sa libération conditionnelle et du nouveau crime commis, cette libération conditionnelle sera révoquée et X______ réintégré dans le solde de peine dont il a été libéré. En conséquence de ce qui précède, l'infraction commise doit être sanctionnée d'une peine privative de liberté de 4 ans, y compris la réduction de peine liée à la responsabilité partiellement restreinte. Compte tenu, de surcroît, de la réintégration dans le solde de peine de 10 mois et un jour, ainsi que de l'effet du concours lié au prononcé d'une peine d'ensemble, X______ sera condamné à une peine privative de liberté de 4 ans et 6 mois. Mesures 4.1.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4.2.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Un traitement ambulatoire selon l'art. 63 CP ne peut en règle générale excéder cinq ans, mais peut être prolongé à chaque fois d'un à cinq ans ; une telle prolongation est possible aussi souvent que cela est nécessaire. La mesure ne prend pas fin avec l'écoulement du temps, mais dure en principe le temps nécessaire pour que son but soit atteint ou jusqu'à ce qu'il paraisse exclu qu'il puisse l'être (ATF 143 IV 445 consid.</w:t>
      </w:r>
    </w:p>
    <w:p>
      <w:r>
        <w:t>- 24 -</w:t>
      </w:r>
    </w:p>
    <w:p>
      <w:r>
        <w:t>P/872/2020</w:t>
      </w:r>
    </w:p>
    <w:p>
      <w:r>
        <w:t>2.2 ; 141 IV 236 consid. 3.5 ; 141 IV 49 consid. 2.1 ; arrêt du tribunal fédéral 6B_1130/2018 du 15 novembre 2018 consid. 1.1). 4.3. En l'espèce, il ressort du rapport d'expertise psychiatrique du 19 octobre 2020, complété par l'audition des experts, que X______ souffre d'un grave trouble mental, sous la forme d'un trouble de la personnalité dyssociale, ainsi que d'une addiction, sous la forme d'un usage nocif pour la santé d'alcool et de cannabis. Non seulement les faits dont il s'est rendu coupable sont en relation avec son état mental, mais encore X______ présente un risque de commettre des infractions de même nature que celle reprochée, le risque de récidive étant qualifié d'élevé s'agissant d'infractions violentes contre des tiers. A l'effet de diminuer significativement ce risque de récidive, il y a lieu de donner suite à la recommandation des experts et d'ordonner un traitement psychiatrique combiné à des soins addictologiques avec contrôle biologique, en ambulatoire et mis en œuvre déjà pendant l'incarcération de X______. 5.1. L'art. 66a CP prescrit que le juge expulse de Suisse pour une durée de cinq à quinze ans l'étranger qui est condamné pour des lésions corporelles graves au sens de l'art. 122 CP, quelle que soit la quotité de la peine prononcée à son encontre (al. 1 let. b).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(al. 2). L'application de l'art. 66a al. 2 CP doit se faire dans le respect du principe de proportionnalité. En d'autres termes, le juge doit faire une pesée des intérêts entre celui public à l'éloignement et la situation personnelle du condamné (G. FIOLKA / L. VETTERLI, Die Landesverweisung in Art. 66a ff StGB als strafrechtliche Sanktion, cahier spécial, Plaidoyer 5/2016, p. 87 ; K. KÜMIN, Darf eine Aufenthaltsbewilligung widerrufen werden, nachdem von einer Landesverweisung abgesehen wurde ?, Jusletter 28 novembre 2016, p. 14). L'art. 66a al. 2 CP définit une "Kannvorschrift",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w:t>
      </w:r>
    </w:p>
    <w:p>
      <w:r>
        <w:t>- 25 -</w:t>
      </w:r>
    </w:p>
    <w:p>
      <w:r>
        <w:t>P/872/2020</w:t>
      </w:r>
    </w:p>
    <w:p>
      <w:r>
        <w:t>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Dans l'examen du cas de rigueur, il faut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op. cit., p. 87 ; AARP/185/2017 du 2 juin 2017). 5.2. En application de l'art. 20 de l'ordonnance sur la partie nationale du Système d'information Schengen (N-SIS) et sur le bureau SIRENE (Ordonnance N-SIS – RS 362.0), le signalement de ressortissants d'États tiers aux fins d'expulsion pénale est requise par le juge ayant ordonné cette mesure. 5.3 En l'espèce, même s'il a grandi en Suisse dès ses 12 ans, le seul lien de X______ avec la Suisse est sa grand-mère. Il n'a rien construit de tangible, en particulier avec son fils, qu'il n'a reconnu qu'en 2018 et avec lequel il n'a aucune relation. Il n'a aucune</w:t>
      </w:r>
    </w:p>
    <w:p>
      <w:r>
        <w:t>- 26 -</w:t>
      </w:r>
    </w:p>
    <w:p>
      <w:r>
        <w:t>P/872/2020</w:t>
      </w:r>
    </w:p>
    <w:p>
      <w:r>
        <w:t>situation professionnelle et a au contraire émargé à l'aide sociale, qu'il a de son propre aveu trompée en cachant des gains ponctuels. Il représente un danger concret pour l'ordre public. Il a un grand-père en Colombie, avec lequel le contact est ténu mais qui n'est pour autant pas un inconnu. Il pourra réactiver ses connaissances en espagnol, langue qu'il a parlée jusqu'à ses 11 ans dans son pays et avec laquelle il est resté en contact en Suisse. Si X______ a peu de chance d'insertion en Colombie, ces chances sont également faibles en Suisse. Il n'y a en conséquence pas lieu de faire application de la clause de rigueur. X______ sera expulsé de Suisse pour une durée de 5 ans. L'inscription au SIS est la règle et X______ n'a aucun intérêt privé dans un autre pays de l'Espace Schengen. Conclusions civiles, indemnité et frais</w:t>
      </w:r>
    </w:p>
    <w:p>
      <w:r>
        <w:rPr>
          <w:b/>
        </w:rPr>
        <w:t>E. 6.1</w:t>
      </w:r>
    </w:p>
    <w:p>
      <w:r>
        <w:t>La partie plaignante peut faire valoir des conclusions civiles déduites de l'infraction par adhésion à la procédure (art. 122 al. 1 CPP), l'autorité judiciaire saisie de la cause pénale jugeant les conclusions civiles indépendamment de leur valeur litigieuse (art. 124 al. 1 CPP).</w:t>
      </w:r>
    </w:p>
    <w:p>
      <w:r>
        <w:rPr>
          <w:b/>
        </w:rPr>
        <w:t>E. 6.1.2</w:t>
      </w:r>
    </w:p>
    <w:p>
      <w:r>
        <w:t>Chacun est tenu de réparer le dommage qu'il cause à autrui d'une manière illicite, soit intentionnellement, soit par négligence ou imprudence (art. 41 al. 1 CO). La preuve du dommage incombe au demandeur (art. 42 al. 1 CO).</w:t>
      </w:r>
    </w:p>
    <w:p>
      <w:r>
        <w:rPr>
          <w:b/>
        </w:rPr>
        <w:t>E. 6.1.3</w:t>
      </w:r>
    </w:p>
    <w:p>
      <w:r>
        <w:t>En application de l'art. 47 CO, le juge peut, en tenant compte de circonstances particulières, allouer à la victime de lésions corporelles ou, en cas de mort d'homme, à la famille une indemnité équitable à titre de réparation morale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arrêt du Tribunal fédéral 1B_648/2012 du 11 juillet 2013 consid. 1.2). A défaut, aucune indemnisation ne peut être accordée (arrêt du Tribunal fédéral 6B_400/2008 du 7 octobre 2008 consid. 6.1).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5.1.1). Cette indemnité a pour but de compenser le préjudice que représente une atteinte au bien- être moral. Le principe d'une indemnisation du tort moral et l'ampleur de la réparation</w:t>
      </w:r>
    </w:p>
    <w:p>
      <w:r>
        <w:t>- 27 -</w:t>
      </w:r>
    </w:p>
    <w:p>
      <w:r>
        <w:t>P/872/2020</w:t>
      </w:r>
    </w:p>
    <w:p>
      <w:r>
        <w:t>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Le juge en proportionnera le montant à la gravité de l'atteinte subie et évitera que la somme accordée n'apparaisse dérisoire à la victime (ATF 125 III 269 consid. 2a ; arrêt du Tribunal fédéral 4A_266/2011 du 19 août 2011 consid. 2.1.4).</w:t>
      </w:r>
    </w:p>
    <w:p>
      <w:r>
        <w:rPr>
          <w:b/>
        </w:rPr>
        <w:t>E. 6.2</w:t>
      </w:r>
    </w:p>
    <w:p>
      <w:r>
        <w:t>En application de l'art. 433 al. 1 let. a CPP, la partie plaignante peut demander au prévenu une juste indemnité pour les dépenses obligatoires occasionnées par la procédure si elle obtient gain de cause. 6.3.1. En l'espèce, A______ a été fortement atteint par les actes de X______, sans avoir lui-même commis de faute concomitante. Il a dû subir une intervention chirurgicale lourde et une longue hospitalisation. Les atteintes durables à sa santé sont graves, sous la forme notamment de céphalées, d'une importante fatigabilité, de troubles de la mémoire, du sommeil et de la concentration et d'une anosmie. Il a perdu sa capacité de travail alors qu'il avait de bonnes perspectives de développement professionnel. Sa vie sociale et son épanouissement par la pratique du sport ont été anéantis. Alors qu'il est jeune, dynamique et fort d'une belle énergie vitale, A______ se sent désormais inutile et est très démuni lorsqu'il envisage son avenir. En conséquence, X______ sera condamné à lui verser une réparation morale en CHF 40'000.- et intérêts. 6.3.2. Concernant l'indemnisation de ses dépenses obligatoires occasionnées par la procédure, l'activité déployée par le Conseil de la partie plaignante et d'autres membres de son Etude comporte plus d'une centaine d'heures et comprend des contacts multiples avec la police et la famille, ce qui excède la mesure nécessaire à une défense efficace de ses intérêts. Il y a lieu de réduire cette activité à un volume d'une cinquantaine d'heures, valorisées à hauteur de CHF 22'500.- TTC étant rappelé qu'une part de l'activité a été réalisée par des collaborateurs et stagiaires, ce total devant être augmenté des frais de photocopies de l'ordre d'un millier de francs.</w:t>
      </w:r>
    </w:p>
    <w:p>
      <w:r>
        <w:t>- 28 -</w:t>
      </w:r>
    </w:p>
    <w:p>
      <w:r>
        <w:t>P/872/2020</w:t>
      </w:r>
    </w:p>
    <w:p>
      <w:r>
        <w:t>A ce titre, X______ sera condamné à verser à A______ une indemnité en CHF 23'500.- TTC aux fins de l'indemniser pour les dépenses obligatoires occasionnées par la procédure.</w:t>
      </w:r>
    </w:p>
    <w:p>
      <w:r>
        <w:rPr>
          <w:b/>
        </w:rPr>
        <w:t>E. 7</w:t>
      </w:r>
    </w:p>
    <w:p>
      <w:r>
        <w:t>Vu le verdict condamnatoire et en application de l'art. 426 al. 1 CPP, X______ sera condamné au frais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