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JTAPI/996/2021 vom 30. September 2021</w:t>
      </w:r>
    </w:p>
    <w:p>
      <w:r>
        <w:t>GE Cour de justice, 2021-09-30, FR</w:t>
      </w:r>
    </w:p>
    <w:p>
      <w:r>
        <w:rPr>
          <w:b/>
        </w:rPr>
        <w:t xml:space="preserve">Quelle: </w:t>
      </w:r>
      <w:r>
        <w:t>https://mcp.opencaselaw.ch/entscheid/ge_gerichte_JTAPI_996_2021</w:t>
      </w:r>
    </w:p>
    <w:p>
      <w:r>
        <w:t>FR: GE_GERICHTE JTAPI/996/2021 du 30 septembre 2021</w:t>
      </w:r>
    </w:p>
    <w:p>
      <w:r>
        <w:t>IT: GE_GERICHTE JTAPI/996/2021 del 30 settembre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 recourant invoque tout d’abord un fait nouveau qui impliquerait que le tribunal s’écarte du jugement pénal.</w:t>
      </w:r>
    </w:p>
    <w:p>
      <w:r>
        <w:rPr>
          <w:b/>
        </w:rPr>
        <w:t>E. 5</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w:t>
      </w:r>
    </w:p>
    <w:p>
      <w:r>
        <w:t>- 5/9 - A/1952/2021 129 II 312 consid. 2.4 ; 123 II 97 consid. 3c/aa ; 119 Ib 158 consid. 3c/aa ; 105 Ib 18 consid. 1a ; 101 Ib 270 consid. 1b ; 96 I 766 consid. 5 ; arrêt du Tribunal fédéral 1C_245/2010 du 13 juillet 2010 consid. 2.1 ; ATA/172/2012 du 27 mars 2012 ; ATA/363/2011 du 7 juin 2011).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 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5.2</w:t>
      </w:r>
    </w:p>
    <w:p>
      <w:r>
        <w:t>; 1C_83/2008 du 16 octobre 2008, JdT 2008 I 447 s.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w:t>
      </w:r>
    </w:p>
    <w:p>
      <w:r>
        <w:t>- 7/9 - A/1952/2021 de 31 à 34 km/h (ATF 128 II 131 consid. 2a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 124 II 97 consid. 2c). Le fait que l'excès de vitesse ait été commis alors que les conditions de la circulation étaient favorables ou que le conducteur jouissait d'une excellente réputation en tant qu'automobiliste ne joue aucun rôle sur la gravité de l'infraction lorsque les seuils d'excès de vitesse fixés par la jurisprudence sont atteints, étant donné que ces seuils ont été fixés précisément en partant de ces prémisses (ATF 132 II 234, consid. 3 ; ATF 124 II 475, consid. 2a).</w:t>
      </w:r>
    </w:p>
    <w:p>
      <w:r>
        <w:rPr>
          <w:b/>
        </w:rPr>
        <w:t>E. 6</w:t>
      </w:r>
    </w:p>
    <w:p>
      <w:r>
        <w:t>Un fait nouveau dit « ancien » est un fait nouveau et important que le recourant ne pouvait connaître ou invoquer dans la procédure précédente (art. 80 let. b LPA ; ATA/816/2021 du 10 août 2021, consid. 2a).</w:t>
      </w:r>
    </w:p>
    <w:p>
      <w:r>
        <w:rPr>
          <w:b/>
        </w:rPr>
        <w:t>E. 7</w:t>
      </w:r>
    </w:p>
    <w:p>
      <w:r>
        <w:t>En l’espèce, le recourant a été condamné pour infraction aux art. 27 al. 1 LCR et 4a al. 1 let. a de l’ordonnance sur les règles de la circulation routière du 13 novembre 1962 (OCR - RS 741.11) par ordonnance pénale de la Préfecture de Nyon du 12 avril 2021 entrée en force, en raison d’un dépassement de la vitesse maximale autorisée de 24 km/h sur un tronçon où la vitesse était limitée à 50 km/h. Le recourant, qui n'a pas contesté l’ordonnance pénale, affirme qu'il n'imaginait pas une seule seconde qu'il ferait l'objet d'une sanction administrative. On ne peut suivre le recourant sur ce point. En effet, non seulement son antécédent routier fait état d’une situation similaire, à savoir le dépassement de la limite de vitesse autorisée de 24 km/h sur le quai Gustave-Ador en 2014, qui avait entraîné une décision de retrait de son permis de conduire pour une durée d’un mois, mais dans</w:t>
      </w:r>
    </w:p>
    <w:p>
      <w:r>
        <w:t>- 6/9 - A/1952/2021 son courrier daté du même jour que l’ordonnance pénale du 12 avril 2021, l'OCV lui indiquait en outre précisément qu’une mesure administrative pouvait être prise à son encontre, indépendamment de l’amende ou d’une autre sanction pénale. On ne peut non plus retenir avec le recourant que la proximité du panneau de limitation de vitesse à 70 km/h avec le radar constitue un fait nouveau. En effet, ce fait, s’il était avéré, existait déjà lors de la procédure pénale, et le recourant pouvait en prendre connaissance. Ainsi, le recourant n’apporte aucun élément de fait ou moyen de preuve nouveau, qu’il n’aurait pu faire valoir dans le cadre de la procédure pénale, susceptible de remettre en cause la décision de l’OCV. Par conséquent, le tribunal n’a aucun motif valable de s’écarter des faits établis par l’autorité pénale.</w:t>
      </w:r>
    </w:p>
    <w:p>
      <w:r>
        <w:rPr>
          <w:b/>
        </w:rPr>
        <w:t>E. 8</w:t>
      </w:r>
    </w:p>
    <w:p>
      <w:r>
        <w:t>Le recourant conteste ensuite la légalité de la décision.</w:t>
      </w:r>
    </w:p>
    <w:p>
      <w:r>
        <w:rPr>
          <w:b/>
        </w:rPr>
        <w:t>E. 9</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arrêts du Tribunal fédéral 1C_216/2009 du 14 septembre 2009, consid.</w:t>
      </w:r>
    </w:p>
    <w:p>
      <w:r>
        <w:rPr>
          <w:b/>
        </w:rPr>
        <w:t>E. 10</w:t>
      </w:r>
    </w:p>
    <w:p>
      <w:r>
        <w:t>Après une infraction moyennement grave, le permis d'élève conducteur ou le permis de conduire est retiré pour un mois au minimum (art. 16b al. 2 let. a LCR).</w:t>
      </w:r>
    </w:p>
    <w:p>
      <w:r>
        <w:rPr>
          <w:b/>
        </w:rPr>
        <w:t>E. 11</w:t>
      </w:r>
    </w:p>
    <w:p>
      <w:r>
        <w:t>Si des circonstances telles que la gravité de la faute, les antécédents ou la nécessité professionnelle de conduire un véhicule automobile doivent être prises en compte pour fixer la durée du retrait, la durée minimale prévue par la loi ne peut pas être réduite à teneur de l'art. 16 al. 3 LCR. La règle contenue dans cette disposition,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 ATF 132 II 234, consid. 2.3.). En d'autres termes,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ne peuvent avoir pour effet de réduire davantage la sanction (ATF 132 II 234, consid. 2.3).</w:t>
      </w:r>
    </w:p>
    <w:p>
      <w:r>
        <w:rPr>
          <w:b/>
        </w:rPr>
        <w:t>E. 12</w:t>
      </w:r>
    </w:p>
    <w:p>
      <w:r>
        <w:t>En l’espèce, le dépassement de la vitesse maximale autorisée imputable au recourant est de 24 km/h à l’intérieur d’une localité, étant rappelé que les faits</w:t>
      </w:r>
    </w:p>
    <w:p>
      <w:r>
        <w:t>- 8/9 - A/1952/2021 retenus par le juge pénal lient le tribunal comme vu plus haut, de sorte que l’infraction doit effectivement être qualifiée de moyennement grave au sens de l’art. 16b al. 1 let. a LCR en lien avec la jurisprudence en matière de dépassement de vitesse. C’est ainsi à juste titre que le recourant a fait l’objet d’un retrait de permis d’une durée d’un mois en application de l’art. 16b al. 2 let. a LCR, dans la mesure où l’OCV n’entendait pas s’écarter du minimum légal prévu par cette disposition. Devant impérativement se tenir à une telle mesure, l’OCV, qui ne pouvait en aucune manière prendre en considération ni les circonstances du cas d’espèce ni les besoins professionnels allégués par le recourant, a donc correctement appliqué les règles en vigueur et n’a pas excédé ou abusé de son pouvoir d’appréciation. Les éléments que le recourant invoque en l'espèce (caractéristiques de la route, de la zone concernée, l’absence d’autres automobilistes et l’absence de mise en danger in concreto) ne sont enfin pas de ceux qui permettraient de faire abstraction de la limitation de vitesse et de considérer l'infraction comme étant un cas de gravité légère (cf dans ce sens arrêt du Tribunal fédéral 1C_55/2014 du 9 janvier 2015, consid. 3.2 ; 1C_194/2009 du 11 septembre 2009, consid. 3.4).</w:t>
      </w:r>
    </w:p>
    <w:p>
      <w:r>
        <w:rPr>
          <w:b/>
        </w:rPr>
        <w:t>E. 13</w:t>
      </w:r>
    </w:p>
    <w:p>
      <w:r>
        <w:t>Il s’ensuit que la décision de l’OCV doit être confirmée et le recours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- 9/9 - A/1952/2021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