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JTAPI/992/2021 vom 30. September 2021</w:t>
      </w:r>
    </w:p>
    <w:p>
      <w:r>
        <w:t>GE Cour de justice, 2021-09-30, FR</w:t>
      </w:r>
    </w:p>
    <w:p>
      <w:r>
        <w:rPr>
          <w:b/>
        </w:rPr>
        <w:t xml:space="preserve">Quelle: </w:t>
      </w:r>
      <w:r>
        <w:t>https://mcp.opencaselaw.ch/entscheid/ge_gerichte_JTAPI_992_2021</w:t>
      </w:r>
    </w:p>
    <w:p>
      <w:r>
        <w:t>FR: GE_GERICHTE JTAPI/992/2021 du 30 septembre 2021</w:t>
      </w:r>
    </w:p>
    <w:p>
      <w:r>
        <w:t>IT: GE_GERICHTE JTAPI/992/2021 del 30 settembre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Lorsque plusieurs législations ayant entre elles un lien matériel étroit sont applicables à un projet de construction, la procédure directrice est celle relative aux autorisation de construire, à moins qu’une loi n’en dispose autrement ou sauf disposition contraire du Conseil d’État (art. 3A al. 1 LCI).</w:t>
      </w:r>
    </w:p>
    <w:p>
      <w:r>
        <w:rPr>
          <w:b/>
        </w:rPr>
        <w:t>E. 3</w:t>
      </w:r>
    </w:p>
    <w:p>
      <w:r>
        <w:t>Aux termes de l'art. 12 al. 4 LaLAT, "en vue de favoriser l’urbanisation, la restructuration de certains territoires, l’extension des villages ou de zones existantes, la création de zones d’activités publiques ou privées, le Grand Conseil peut délimiter des périmètres de développement, dits zones de développement, dont il fixe le régime d’affectation. […] À l’intérieur de ces périmètres, le Conseil d’Etat peut, en vue de la délivrance d’une autorisation de construire, autoriser le département à faire application des normes résultant de la zone de développement, en lieu et place de celles de la zone à laquelle elle se substitue.</w:t>
      </w:r>
    </w:p>
    <w:p>
      <w:r>
        <w:t>- 9/10 - A/1759/2021</w:t>
      </w:r>
    </w:p>
    <w:p>
      <w:r>
        <w:rPr>
          <w:b/>
        </w:rPr>
        <w:t>E. 4</w:t>
      </w:r>
    </w:p>
    <w:p>
      <w:r>
        <w:t>D'après l'art. 3A al. 3 LCI, l’arrêté du Conseil d’État appliquant les normes d’une zone de développement fait partie intégrante de l’autorisation définitive. Le recours contre cette dernière emporte recours contre ledit arrêté.</w:t>
      </w:r>
    </w:p>
    <w:p>
      <w:r>
        <w:rPr>
          <w:b/>
        </w:rPr>
        <w:t>E. 5</w:t>
      </w:r>
    </w:p>
    <w:p>
      <w:r>
        <w:t>Au sens de l'art. 5 al. 1 RGZD, après examen de la demande définitive en autorisation de construire, le département, en application de l'art. 2 al. 1 LGZD, fixe les conditions particulières conformément aux articles 4 et 5 de la loi et statue sur l’application au projet présenté des normes de la zone de développement considérée.</w:t>
      </w:r>
    </w:p>
    <w:p>
      <w:r>
        <w:rPr>
          <w:b/>
        </w:rPr>
        <w:t>E. 6</w:t>
      </w:r>
    </w:p>
    <w:p>
      <w:r>
        <w:t>La loi s'interprète en premier lieu selon sa lettre (interprétation littérale). Dans le cas où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des travaux préparatoires (interprétation historique). Le sens que prend la disposition dans son contexte est également important. Lorsqu'il est appelé à interpréter une loi, le juge adopte une position pragmatique en suivant une pluralité de méthodes, sans soumettre les différents éléments d'interprétation à un ordre de priorité (ATF 140 V 485 consid. 4.1 ; ATF 140 V 227 consid. 3.2 et les arrêts cités).</w:t>
      </w:r>
    </w:p>
    <w:p>
      <w:r>
        <w:rPr>
          <w:b/>
        </w:rPr>
        <w:t>E. 7</w:t>
      </w:r>
    </w:p>
    <w:p>
      <w:r>
        <w:t>En l'espèce, la loi est claire et les griefs soulevés à l'égard de l'arrêté doivent être examinés dans le cadre du recours contre l'autorisation de construire (ATA/635/2010 du 21 septembre 2010 consid. 3 ; ATA/277/2010 du 27 avril 2010 consid. 6). Il en découle que l'arrêté départemental n'a pas de portée indépendante par rapport à l'autorisation de construire, dont la conformité fait l'objet d'une procédure pendante auprès du tribunal de céans (A/3______).</w:t>
      </w:r>
    </w:p>
    <w:p>
      <w:r>
        <w:rPr>
          <w:b/>
        </w:rPr>
        <w:t>E. 8</w:t>
      </w:r>
    </w:p>
    <w:p>
      <w:r>
        <w:t>Partant, à défaut pour l'arrêté litigieux de constituer un acte attaquable en tant que tel, le recours dirigé à son encontre n'est pas recevable.</w:t>
      </w:r>
    </w:p>
    <w:p>
      <w:r>
        <w:rPr>
          <w:b/>
        </w:rPr>
        <w:t>E. 9</w:t>
      </w:r>
    </w:p>
    <w:p>
      <w:r>
        <w:t>En application des art. 87 al. 1 LPA et 1 et 2 du règlement sur les frais, émoluments et indemnités en procédure administrative du 30 juillet 1986 (RFPA - E 5 10.03), les recourants, qui succombent, sont condamnés, pris solidairement, au paiement d’un émolument s'élevant à CHF 600.- ; il est couvert par l’avance de frais de CHF 800.- versée à la suite du dépôt du recours.</w:t>
      </w:r>
    </w:p>
    <w:p>
      <w:r>
        <w:rPr>
          <w:b/>
        </w:rPr>
        <w:t>E. 10</w:t>
      </w:r>
    </w:p>
    <w:p>
      <w:r>
        <w:t>Le solde de l'avance de frais, soit CHF 200.-, sera restitué aux recourants.</w:t>
      </w:r>
    </w:p>
    <w:p>
      <w:r>
        <w:rPr>
          <w:b/>
        </w:rPr>
        <w:t>E. 11</w:t>
      </w:r>
    </w:p>
    <w:p>
      <w:r>
        <w:t>Vu l’issue du litige, une indemnité de procédure de CHF 1'000.-, mise à la charge des recourants, pris solidairement, sera allouée à la F______ (art. 87 al. 2 LPA).</w:t>
      </w:r>
    </w:p>
    <w:p>
      <w:r>
        <w:t>- 10/10 - A/1759/2021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