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JTAPI/98/2024 vom 6. Februar 2024</w:t>
      </w:r>
    </w:p>
    <w:p>
      <w:r>
        <w:t>GE Cour de justice, 2024-02-06, FR</w:t>
      </w:r>
    </w:p>
    <w:p>
      <w:r>
        <w:rPr>
          <w:b/>
        </w:rPr>
        <w:t xml:space="preserve">Quelle: </w:t>
      </w:r>
      <w:r>
        <w:t>https://mcp.opencaselaw.ch/entscheid/ge_gerichte_JTAPI_98_2024</w:t>
      </w:r>
    </w:p>
    <w:p>
      <w:r>
        <w:t>FR: GE_GERICHTE JTAPI/98/2024 du 6 février 2024</w:t>
      </w:r>
    </w:p>
    <w:p>
      <w:r>
        <w:t>IT: GE_GERICHTE JTAPI/98/2024 del 6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 À cet égard, il sied de relever que, de jurisprudence constante, l’A______ jouit de la qualité pour recourir au sens de l’art. 45 al. 6 LDTR (ATA/1107/2023 du 10 octobre 2023 consid. 2.4 ; ATA/6______/2023 du 16 mai 2023 ; ATA/1359/2021 du 14 décembre 2021 consid. 1).</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- 7/11 - A/1761/2023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5</w:t>
      </w:r>
    </w:p>
    <w:p>
      <w:r>
        <w:t>Préalablement, la recourante sollicite la production du plan financier initial.</w:t>
      </w:r>
    </w:p>
    <w:p>
      <w:r>
        <w:rPr>
          <w:b/>
        </w:rPr>
        <w:t>E. 6</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7</w:t>
      </w:r>
    </w:p>
    <w:p>
      <w:r>
        <w:t>En l’occurrence, le tribunal estime que le dossier contient les éléments nécessaires et suffisants à l’examen des griefs et arguments mis en avant par les parties, de sorte que la réalisation de la mesure d’instruction sollicitée n’apparaît pas utile.</w:t>
      </w:r>
    </w:p>
    <w:p>
      <w:r>
        <w:t>- 8/11 - A/1761/2023 Partant, il ne sera pas procédé à l’accomplissement de l’acte d’instruction requis, en soi non obligatoire. Dans ces conditions, il n’y a pas lieu de lui permettre de compléter ses écritures.</w:t>
      </w:r>
    </w:p>
    <w:p>
      <w:r>
        <w:rPr>
          <w:b/>
        </w:rPr>
        <w:t>E. 8</w:t>
      </w:r>
    </w:p>
    <w:p>
      <w:r>
        <w:t>L’objet du litige est l’arrêté du département VA 2______ du 24 avril 2023 qui autorise C______ SA à aliéner le studio n° 8.08.</w:t>
      </w:r>
    </w:p>
    <w:p>
      <w:r>
        <w:rPr>
          <w:b/>
        </w:rPr>
        <w:t>E. 9</w:t>
      </w:r>
    </w:p>
    <w:p>
      <w:r>
        <w:t>A______ soutient que cette autorisation d’aliénation contrevient tant à l’art. 8A LGZD en lien avec l’art. 39 LDTR qu’au but de la LGZD tel que déjà applicable au moment de la construction en vertu de l’art. 5 LGZD.</w:t>
      </w:r>
    </w:p>
    <w:p>
      <w:r>
        <w:rPr>
          <w:b/>
        </w:rPr>
        <w:t>E. 10</w:t>
      </w:r>
    </w:p>
    <w:p>
      <w:r>
        <w:t>Aux termes de l’art. 39 al. 4 LDTR intitulé « motifs d’autorisation », dans sa version avant le 19 novembre 2016, le département autorise l’aliénation d’un appartement si celui-ci a été dès sa construction soumis au régime de la PPE ou à une forme de propriété analogue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cas de réalisation de l’une des hypothèses de l’art. 39 al. 4 LDTR, le département est tenu de délivrer l’autorisation d’aliéner, ce qui résulte d’une interprétation tant littérale (le texte indique que l’autorité « accorde » l’autorisation, sans réserver d’exception) qu’historique (l’art. 9 al. 3 aLTDR, dont le contenu est repris matériellement à l’art. 39 al. 4 LDTR, prévoyait expressément que l’autorité ne pouvait refuser l’autorisation) du texte légal. Il n’y a donc, le cas échéant, pas de place pour une pesée des intérêts au sens de l’art. 39 al. 2 LDTR (ATA/6______/2023 du 16 mai 2023 consid. 3.2 et les références citées).</w:t>
      </w:r>
    </w:p>
    <w:p>
      <w:r>
        <w:rPr>
          <w:b/>
        </w:rPr>
        <w:t>E. 11</w:t>
      </w:r>
    </w:p>
    <w:p>
      <w:r>
        <w:t>L’art. 39 al. 4 let. a LDTR a été modifié le 19 novembre 2016, par l’entrée en vigueur, le même jour, de l’art. 8A LGZD et prévoit depuis lors que le département autorise l’aliénation d’un appartement si celui-ci a été dès sa construction soumis au régime de la PPE ou à une forme de propriété analogue, sous réserve du régime applicable à l’aliénation d’appartements destinés à la vente régi par l’art. 8A LGZD. Cette dernière disposition prévoit que si un logement destiné à la vente selon l’art. 5 al. 1 let. b LGZD est loué pendant la période de contrôle instituée par l’art. 5 al. 3 LGZD, son aliénation ne peut en principe pas être autorisée en application de l’art. 39 al. 4 let. a LDTR.</w:t>
      </w:r>
    </w:p>
    <w:p>
      <w:r>
        <w:rPr>
          <w:b/>
        </w:rPr>
        <w:t>E. 12</w:t>
      </w:r>
    </w:p>
    <w:p>
      <w:r>
        <w:t>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w:t>
      </w:r>
    </w:p>
    <w:p>
      <w:r>
        <w:t>- 9/11 - A/1761/2023 (ATF 119 Ia 254 consid. 3 ; ACST/16/2015 du 2 septembre 2015 consid. 16b ; ATA/6______/2023 du 16 mai 2023 consid. 3.2 et les références citées).</w:t>
      </w:r>
    </w:p>
    <w:p>
      <w:r>
        <w:rPr>
          <w:b/>
        </w:rPr>
        <w:t>E. 13</w:t>
      </w:r>
    </w:p>
    <w:p>
      <w:r>
        <w:t>Selon la jurisprudence (arrêt de la chambre constitutionnelle de la Cour de justice ACST/17/2015 du 2 septembre 2015, confirmé par l’arrêt du Tribunal fédéral 1C_529/2015 du 5 avril 2016), opposer l’inapplicabilité du motif d’autorisation automatique de l’art. 39 al. 4 let. a LDTR du fait qu’un propriétaire aurait mis son appartement en location durant la période de contrôle, mais avant l’entrée en vigueur de l’interdiction de le faire, l’empêcherait de vendre, sauf circonstances particulières visées par une autre disposition de la LDTR. Cela serait non seulement contraire au principe de la proportionnalité, mais aussi arbitraire, en tant que cela irait à fins contraires du but poursuivi que les logements PPE en zone de développement soient dorénavant habités par leur propriétaire durant la période de contrôle. La chambre administrative a jugé, dans un dossier concernant un appartement soumis au régime de la PPE depuis sa construction en juillet 2011, que le système de l’art. 39 LDTR était un raisonnement en cascade, de sorte que lorsqu’une des hypothèses de l’al. 4 était donnée, il n’y avait pas lieu d’analyser les autres alinéas. Dès lors que l’hypothèse de l’art. 39 al. 4 let. a LDTR, dans sa version avant le 19 novembre 2016, est remplie, le département doit délivrer l’autorisation sans aucune pesée des intérêts, peu importe que l’appartement ait été loué ou non (ATA/6______/2023 du 16 mai 2023).</w:t>
      </w:r>
    </w:p>
    <w:p>
      <w:r>
        <w:rPr>
          <w:b/>
        </w:rPr>
        <w:t>E. 14</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(ATF 144 II 49 consid. 2.2 et les références citées ; ATA/6______/2023 du 16 mai 2023 consid. 5.2).</w:t>
      </w:r>
    </w:p>
    <w:p>
      <w:r>
        <w:rPr>
          <w:b/>
        </w:rPr>
        <w:t>E. 15</w:t>
      </w:r>
    </w:p>
    <w:p>
      <w:r>
        <w:t>En l’espèce, à l’instar de la jurisprudence précitée, le studio litigieux était soumis au régime de la PPE depuis sa construction en septembre 2010. La conclusion à laquelle la chambre administrative est parvenue doit dès lors aussi s’appliquer en l’espèce. Ainsi, dans la mesure où l’art. 39 al. 4 let. a LDTR, dans sa version avant le 19 novembre 2016, était remplie, le département devait délivrer l’autorisation d’aliéner le studio requis en date du 6 avril 2023, sans qu’il importe qu’il ait été ou non loué. Au surplus, ainsi que déjà relevé dans le jugement JTAPI/7______/2022 du</w:t>
      </w:r>
    </w:p>
    <w:p>
      <w:r>
        <w:rPr>
          <w:b/>
        </w:rPr>
        <w:t>E. 19</w:t>
      </w:r>
    </w:p>
    <w:p>
      <w:r>
        <w:t>décembre 2022 ayant conduit à l’ATA/6______/2023 du 16 mai 2023, le</w:t>
      </w:r>
    </w:p>
    <w:p>
      <w:r>
        <w:t>- 10/11 - A/1761/2023 tribunal de céans est uniquement compétent pour analyser si le département a correctement appliqué la loi telle qu’elle était en vigueur, ce qui a été le cas comme relevé ci-dessus. Savoir si, au final, les objectifs de la loi sont atteints dans le cadre de son application concrète, relève des compétences du législateur à qui il revient, cas échéant, de faire les modifications qu’il jugerait nécessaires. Au surplus et en tout état, il ne peut être - en soi - retenu que la simple application de dispositions légales en vigueur, même si celles-ci se révèleraient peu aptes voire même inaptes pour atteindre le but souhaité par la loi, sans aucun autre subterfuge, puisse constituer une fraude à la loi. 16. Mal fondé, le recours sera rejeté. 17.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une indemnité de procédure de CHF 1’200.-, à la charge de la recourante, sera allouée à C______ SA (art. 87 al. 2 à 4 LPA et 6 RFPA).</w:t>
      </w:r>
    </w:p>
    <w:p>
      <w:r>
        <w:t>- 11/11 - A/1761/2023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