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JTAPI/989/2024 vom 7. Oktober 2024</w:t>
      </w:r>
    </w:p>
    <w:p>
      <w:r>
        <w:t>GE Cour de justice, 2024-10-07, FR</w:t>
      </w:r>
    </w:p>
    <w:p>
      <w:r>
        <w:rPr>
          <w:b/>
        </w:rPr>
        <w:t xml:space="preserve">Quelle: </w:t>
      </w:r>
      <w:r>
        <w:t>https://mcp.opencaselaw.ch/entscheid/ge_gerichte_JTAPI_989_2024</w:t>
      </w:r>
    </w:p>
    <w:p>
      <w:r>
        <w:t>FR: GE_GERICHTE JTAPI/989/2024 du 7 octobre 2024</w:t>
      </w:r>
    </w:p>
    <w:p>
      <w:r>
        <w:t>IT: GE_GERICHTE JTAPI/989/2024 del 7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- 4/10 - A/192/2024 judiciaire du 26 septembre 2010 - LOJ - E 2 05 ; art. 49 de la loi de procédure fiscale du 4 octobre 2001 - LPFisc - D 3 17).</w:t>
      </w:r>
    </w:p>
    <w:p>
      <w:r>
        <w:rPr>
          <w:b/>
        </w:rPr>
        <w:t>E. 2</w:t>
      </w:r>
    </w:p>
    <w:p>
      <w:r>
        <w:t>Interjeté dans les formes prescrites devant la juridiction compétente, le recours est recevable, sous cet angle, au sens de l'art. 49 LPFisc. S’agissant de la question de savoir si le recours a été déposé en temps utile, il convient tout d’abord de relever que la mention « Date de notification : 18 décembre 2023 » figurant sur la décision litigieuse datée du 6 décembre 2023 parait incompatible tant avec le caractère impératif du délai de recours de 30 jours fixé par cette disposition qu’avec le principe de l’égalité de traitement, dans la mesure où elle est susceptible d’induire en erreur les contribuables, en ce sens qu’ils pourraient se fonder plutôt sur elle qu’à la date à laquelle ils ont effectivement reçu la décision, pour calculer le dies a quo dudit délai. En l’occurrence, étant donné que la date d’expédition de la décision litigieuse est inconnue (cf. ATA/1373/2018 du 18 décembre 2018 consid. 7c, ATA/461/2018 du 8 mai 2018 consid. 10, ATA/687/2017 du 20 juin 2017 consid. 6c, selon lesquels, en cas d'envoi de décisions sous pli simple, comme en l’espèce, on admet que la décision entreprise a été réceptionnée quelques jours après son expédition), il y a lieu de se fonder sur la déclaration du recourant (cf. ATF 142 IV 125 consid. 4.3 ; 129 I 8 consid. 2.2 ; 124 V 400 consid. 2a ; arrêt du Tribunal fédéral 1C_634/2015 du 26 avril 2016 consid. 2.1), selon laquelle il l’a reçue le 18 décembre 2023. Aussi, il y a lieu de retenir que le présent acte de recours, déposé le 17 janvier 2024, l’a été en temps utile. Ainsi, sous cet angle également, le recours est recevable.</w:t>
      </w:r>
    </w:p>
    <w:p>
      <w:r>
        <w:rPr>
          <w:b/>
        </w:rPr>
        <w:t>E. 3</w:t>
      </w:r>
    </w:p>
    <w:p>
      <w:r>
        <w:t>Le recourant conteste l’évaluation de la participation qu’il détient dans B______, considérant en particulier que la méthode d’évaluation préconisée par la circulaire n° 28 n’est pas prévue par la loi.</w:t>
      </w:r>
    </w:p>
    <w:p>
      <w:r>
        <w:rPr>
          <w:b/>
        </w:rPr>
        <w:t>E. 4</w:t>
      </w:r>
    </w:p>
    <w:p>
      <w:r>
        <w:t>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w:t>
      </w:r>
    </w:p>
    <w:p>
      <w:r>
        <w:rPr>
          <w:b/>
        </w:rPr>
        <w:t>E. 4.4</w:t>
      </w:r>
    </w:p>
    <w:p>
      <w:r>
        <w:t>ss).</w:t>
      </w:r>
    </w:p>
    <w:p>
      <w:r>
        <w:rPr>
          <w:b/>
        </w:rPr>
        <w:t>E. 5</w:t>
      </w:r>
    </w:p>
    <w:p>
      <w:r>
        <w:t>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w:t>
      </w:r>
    </w:p>
    <w:p>
      <w:r>
        <w:rPr>
          <w:b/>
        </w:rPr>
        <w:t>E. 6</w:t>
      </w:r>
    </w:p>
    <w:p>
      <w:r>
        <w:t>Dans le canton de Genève, la loi sur l’imposition des personnes physiques du 27 septembre 2009 (LIPP - D 3 08), prévoit également que l’impôt sur la fortune a pour objet l’ensemble de la fortune nette après déductions sociales (art. 46), qui comprend notamment les actions, les obligations et les valeurs mobilières de toute nature (art. 47 let. b).</w:t>
      </w:r>
    </w:p>
    <w:p>
      <w:r>
        <w:t>- 5/10 - A/192/2024</w:t>
      </w:r>
    </w:p>
    <w:p>
      <w:r>
        <w:t>Selon l’art. 49 LIPP, l’état de la fortune mobilière et immobilière est établi au 31 décembre de l’année pour laquelle l’impôt est dû (al. 1).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 ; arrêt du Tribunal fédéral 2C_328/2019 du 16 septembre 2019 consid.</w:t>
      </w:r>
    </w:p>
    <w:p>
      <w:r>
        <w:rPr>
          <w:b/>
        </w:rPr>
        <w:t>E. 7</w:t>
      </w:r>
    </w:p>
    <w:p>
      <w:r>
        <w:t>L’évaluation des titres non cotés a fait l’objet de la circulaire n° 28. La Conférence suisse des impôts édite annuellement un commentaire (ci-après : commentaire) en lien avec cette circulaire pour refléter la pratique et tenir compte de la jurisprudence.</w:t>
      </w:r>
    </w:p>
    <w:p>
      <w:r>
        <w:t>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négociés dans aucune bourse.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 Les titres et participations non cotés sont estimés selon les présentes Instructions, mais au minimum à leur valeur comptable. On peut s’écarter de cette règle dans des cas justifiés (ch. 24 al. 1 de la circulaire n° 28).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w:t>
      </w:r>
    </w:p>
    <w:p>
      <w:r>
        <w:rPr>
          <w:b/>
        </w:rPr>
        <w:t>E. 8</w:t>
      </w:r>
    </w:p>
    <w:p>
      <w:r>
        <w:t>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w:t>
      </w:r>
    </w:p>
    <w:p>
      <w:r>
        <w:t>- 6/10 - A/192/2024 Le commentaire précise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w:t>
      </w:r>
    </w:p>
    <w:p>
      <w:r>
        <w:rPr>
          <w:b/>
        </w:rPr>
        <w:t>E. 9</w:t>
      </w:r>
    </w:p>
    <w:p>
      <w:r>
        <w:t>Dans l’arrêt 2C_132/2020 précité, le Tribunal fédéral a rappelé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 Cette méthode est généralement appelée "méthode des praticiens" (…) ».</w:t>
      </w:r>
    </w:p>
    <w:p>
      <w:r>
        <w:t>La jurisprudence considère par ailleurs que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143 I 253 consid. 6.1 et les références ; arrêt du Tribunal fédéral 2C_719/2020 du 30 juin 2021 consid. 5.3.2). Elle retient aussi qu’en prévoyant des règles unifiées d’estimation des titres non cotés en vue de leur imposition sur la fortune dans un domaine où les cantons jouissent d’un large pouvoir d’appréciation, la circulaire n° 28 poursuit un but d’harmonisation fiscale horizontale et concrétise ainsi l’art. 14 al. 1 LHID (arrêt du Tribunal fédéral 2C_826/2015 du 5 janvier 2017 consid. 4.3).</w:t>
      </w:r>
    </w:p>
    <w:p>
      <w:r>
        <w:t>Elle ajoute que si l’évaluation selon la valeur vénale est obligatoire pour les cantons, la LHID ne prescrit toutefois pas au législateur cantonal une méthode d’évaluation précise pour déterminer cette valeur et que les cantons disposent donc en la matière d’une marge de manœuvre importante pour élaborer et appliquer leur réglementation, aussi bien dans le choix de la méthode de calcul applicable que pour déterminer, sur le vu du caractère potestatif de l’art. 14 al. 1 2ème phr. LHID, dans quelle mesure la valeur de rendement doit être prise en considération dans</w:t>
      </w:r>
    </w:p>
    <w:p>
      <w:r>
        <w:t>- 7/10 - A/192/2024 l’estimation. Ainsi, la valeur de rendement peut être prise en considération de manière appropriée, mais sans justifier n’importe quel écart avec la valeur vénale (ATF 134 II 207 consid. 3.6 ; arrêts du Tribunal fédéral 2C_401/2020 du 28 juillet 2021 consid. 4.1.1, destiné à publication ; 2C_954/2020 du 26 juillet 2021 consid. 5.1). Elle précise que la circulaire n° 28 prend en compte les éléments déterminants pour l’évaluation des titres non cotés et qu’elle est appropriée pour l’estimation des sociétés en vue de l’imposition sur la fortune des actionnaires, sans pour autant exclure que d’autres méthodes d’évaluation reconnues puissent, isolément, s’avérer appropriées. En tant que directive faisant partie des ordonnances administratives, qui s’adressent aux administrations fiscales cantonales afin d’unifier et de rationaliser la pratique, d’assurer l’égalité de traitement, le bon fonctionnement de l’administration et la sécurité juridique, la circulaire n° 28 ne constitue pas du droit et ne lie pas le juge (arrêt du Tribunal fédéral 2C_954/2020 du 26 juillet 2021 consid. 5.3). Ces autorités ne s’en écartent que dans la mesure où elles contreviennent au sens et au but de la loi (ATA/1518/2017 du 21 novembre 2017).</w:t>
      </w:r>
    </w:p>
    <w:p>
      <w:r>
        <w:rPr>
          <w:b/>
        </w:rPr>
        <w:t>E. 10</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w:t>
      </w:r>
    </w:p>
    <w:p>
      <w:r>
        <w:t>En particulier, si l’estimation des titres est effectuée sur la base de la circulaire, il convient alors de supposer que l’estimation aboutit à une valeur vénale correcte et que, par ce calcul, le fisc a apporté une preuve suffisante. Si un contribuable est d’un avis contraire, il lui appartient d’apporter ses propres preuves (cf. p. 3 s des commentaires). La preuve de l'existence de circonstances justifiant de s’écarter de la méthode générale d’estimation contenue dans la circulaire et de l'inadéquation à leur situation du mode de calcul figurant dans cette dernière doit ainsi être apportée par le contribuable (ATA/303/2013 du 14 mai 2013 consid. 4 ; ATA/483/2012 du 31 juillet 2012 consid. 6).</w:t>
      </w:r>
    </w:p>
    <w:p>
      <w:r>
        <w:rPr>
          <w:b/>
        </w:rPr>
        <w:t>E. 11</w:t>
      </w:r>
    </w:p>
    <w:p>
      <w:r>
        <w:t>En l’espèce, le grief du recourant relatif à l’inapplicabilité de la circulaire n° 28 tombe à faux. Certes, l’art. 14 al. 1 LHID et les normes topiques cantonales précitées ne s’y réfèrent pas, mais une jurisprudence constante y renvoie pour concrétiser la valeur vénale des titres non cotés, soulignant qu’elle poursuit un but d’harmonisation fiscale horizontale et concrétise ainsi l’art. 14 al. 1 LHID. Il n’y a pas lieu de s’écarter de cette jurisprudence. La position du recourant quant à l’arbitraire de la circulaire n° 28 ne peut également pas être suivie. Celle-ci opère en effet une distinction entre les sociétés dont la valeur de rendement repose exclusivement ou presque exclusivement sur la performance d’une personne unique détenant la totalité ou la majorité des droits de</w:t>
      </w:r>
    </w:p>
    <w:p>
      <w:r>
        <w:t>- 8/10 - A/192/2024 participation et celles qui n’ont pas cette particularité. En l’espèce, la situation particulière de B______, soit le fait que ses revenus ne seraient générés que par le recourant, n’est pas établie. En effet, ce dernier n’a fourni aucun élément de preuve permettant de le confirmer. Au contraire, il ressort de la liste des rémunérations qu’il a produite au stade de la réclamation (cf. pièce n° 5 du chargé de l'AFC-GE) que le montant de son salaire est proche de celui de la rémunération perçue par l’administrateur de B______, M. C______, ce qui laisse penser que ce dernier contribue également à la création de la valeur de l’entreprise et que son activité ne se limite pas à la « comptabilité et gestion des commandes ». Il y a donc lieu de considérer que c’est également sur lui que repose le chiffre d’affaires de B______. Ainsi, aucun élément objectif ne permet d'admettre que le rendement de B______ reposerait sur la seule performance individuelle du recourant, de sorte que l'AFC- GE n'avait pas à procéder à une pondération simple de sa valeur de rendement et de sa valeur substantielle. Le recourant semble certes avoir un rôle primordial dans son entreprise, mais il n'est pas le seul à fournir à sa clientèle les prestations facturées, puisque celles-ci dépendent aussi de l'activité déployée par les deux autres personnes mentionnées sur la liste des rémunérations. Sans leur collaboration, il est vraisemblable que l'activité principale de l'entreprise cesserait du jour au lendemain, étant donné que le recourant ne serait pas en mesure de continuer à assumer ses fonctions dirigeantes et en même temps celles de ces collaborateurs auprès de la clientèle. Inversement, si le recourant était subitement dans l'incapacité de travailler, il n’est pas certain que la société serait empêchée de poursuivre ses activités avec ces mêmes collaborateurs au sein des entreprises clientes. En d'autres termes, il convient en l’occurrence de parler plutôt de complémentarité entre l'activité déployée par le recourant et celle des autres collaborateurs. S’agissant de la prise en compte de la valeur de rendement, il n’est pas contestable qu’il en soit tenu compte pour établir la valeur vénale, ainsi que retenu à réitérées reprises par la jurisprudence. Le Tribunal fédéral a au surplus relevé à ce sujet qu’une évaluation reposant exclusivement sur la valeur substantielle aurait pour effet de parvenir de manière systématique à une évaluation très faible des titres des sociétés de services dont la valeur dépend de l’activité de leur actionnaire unique et qu’il était douteux qu’une telle méthode respecte le principe de l’évaluation à la valeur vénale prévue par l’art. 14 LHID (arrêt 2C_866/2019 consid. 6.2.3). Dans le même ordre d’idée, prendre en compte la valeur de rendement pour établir la valeur vénale est peut-être discutable d’un point de vue économique, mais non pour cela forcément arbitraire. Pour le surplus, l’on ne perçoit pas en quoi la capacité contributive du recourant et son droit à la propriété seraient violés par l’impôt qui lui est réclamé sur une fortune dont la valeur vénale a été fixée conformément à la loi, étant relevé que le montant de cet impôt est de loin inférieur à celui de son revenu imposable en 2019 et qu’il n’entame donc pas cette fortune.</w:t>
      </w:r>
    </w:p>
    <w:p>
      <w:r>
        <w:t>- 9/10 - A/192/2024 Enfin, le grief du recourant relatif à l’imposition confiscatoire parait manifestement mal fondé dès lors que l’ICC qu’il doit pour l’année 2019 (CHF 32'199,05) n’excède de toute évidence pas 60% de son revenu net imposable (CHF 109'174.-) de sorte que les conditions du bouclier fiscal de l’art. 60 al. 1 LIPP ne sont pas réunies.</w:t>
      </w:r>
    </w:p>
    <w:p>
      <w:r>
        <w:rPr>
          <w:b/>
        </w:rPr>
        <w:t>E. 12</w:t>
      </w:r>
    </w:p>
    <w:p>
      <w:r>
        <w:t>Au vu de ce qui précède, le recours, mal fondé, sera rejeté.</w:t>
      </w:r>
    </w:p>
    <w:p>
      <w:r>
        <w:rPr>
          <w:b/>
        </w:rPr>
        <w:t>E. 13</w:t>
      </w:r>
    </w:p>
    <w:p>
      <w:r>
        <w:t>En application des art. 52 al. 1 LPFisc, 87 al. 1 de la loi sur la procédure administrative du 12 septembre 1985 (LPA - E 5 10),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rPr>
          <w:b/>
        </w:rPr>
        <w:t>E. 14</w:t>
      </w:r>
    </w:p>
    <w:p>
      <w:r>
        <w:t>Vu l’issue du litige, aucune indemnité de procédure ne sera allouée (art. 87 al. 2 LPA).</w:t>
      </w:r>
    </w:p>
    <w:p>
      <w:r>
        <w:t>- 10/10 - A/192/2024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