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JTAPI/984/2025 vom 18. September 2025</w:t>
      </w:r>
    </w:p>
    <w:p>
      <w:r>
        <w:t>GE Cour de justice, 2025-09-18, FR</w:t>
      </w:r>
    </w:p>
    <w:p>
      <w:r>
        <w:rPr>
          <w:b/>
        </w:rPr>
        <w:t xml:space="preserve">Quelle: </w:t>
      </w:r>
      <w:r>
        <w:t>https://mcp.opencaselaw.ch/entscheid/ge_gerichte_JTAPI_984_2025</w:t>
      </w:r>
    </w:p>
    <w:p>
      <w:r>
        <w:t>FR: GE_GERICHTE JTAPI/984/2025 du 18 septembre 2025</w:t>
      </w:r>
    </w:p>
    <w:p>
      <w:r>
        <w:t>IT: GE_GERICHTE JTAPI/984/2025 del 18 settembre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2C_573/2020 du 22 avril 2021 consid. 5 ; 1C_474/2017 du 13 décembre 2017 consid. 3.2 ; 4A_142/2016 du 25 novembre 2016 consid. 2.2). Elle peut aussi être constatée en procédure de recours (ATF 138 II 501 consid. 3.1 ; 137 III 217 consid. 2.4.3 ; 132 II 342 consid. 2.1 ; 122 I 97 consid. 3a ; arrêt du Tribunal fédéral 5A_998/2014 du 14 avril 2015 consid. 2.1.2), y compris en dépit de l'irrecevabilité éventuelle du recours (cf. arrêts du Tribunal</w:t>
      </w:r>
    </w:p>
    <w:p>
      <w:r>
        <w:t>- 16/17 - A/172/2025 fédéral 5A_998/2014 du 14 avril 2015 consid. 2.1.2 ; 7B.20/2005 du 14 septembre 2005 consid. 1.3, non publié in ATF 131 III 652).</w:t>
      </w:r>
    </w:p>
    <w:p>
      <w:r>
        <w:rPr>
          <w:b/>
        </w:rPr>
        <w:t>E. 3</w:t>
      </w:r>
    </w:p>
    <w:p>
      <w:r>
        <w:t>À titre préalable, les recourants sollicitent la tenue d'un transport sur place ainsi que la production de documents permettant d'attester des possibilités de réintégration des surfaces crées par le biais des conteneurs litigieux dans le bâtiment à construire selon la DD 15_____ ainsi que la copie des baux et loyer relatifs à la mise à disposition par la propriétaire du bâtiment et d'un parking au bénéfice de la clinique.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w:t>
      </w:r>
    </w:p>
    <w:p>
      <w:r>
        <w:t>- 7/17 - A/172/2025 l’amèneront pas à modifier son opinion ou si le fait à établir résulte déjà des constatations ressortant du dossier (ATF 140 I 285 consid. 6.3.1 ; arrêt du Tribunal fédéral 1C_159/2020 du 5 octobre 2020 consid. 2.2.1). Ces principes s’appliquent notamment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5</w:t>
      </w:r>
    </w:p>
    <w:p>
      <w:r>
        <w:t>En l’espèce, le tribunal estime que le dossier contient les éléments nécessaires et suffisants à l’examen des griefs et arguments mis en avant par les parties. Les reportages photographiques, les photomontages ainsi que les informations et les outils disponibles sur le SITG permettent en particulier de visualiser la parcelle ainsi que les éléments litigieux. Le transport sur place sollicité aurait pour objet ces mêmes éléments d’appréciation, de sorte que cette mesure d’instruction, en soi non- obligatoire, ne fournirait pas d’informations pertinentes supplémentaires. Quant à la production des documents supplémentaires, ceux-ci ont manifestement pour but de fournir des garanties quant au caractère provisoire du projet. Or, comme il sera discuté ci-après en détail, cet élément peut déjà être examiner sur la base des éléments du dossier, de sorte que la production de ces documents n'apporterait aucun élément supplémentaire déterminant. À cela s'ajoute que les recourants ont pu s’exprimer par écrit, notamment sur les préavis rendus, et produire toutes les pièces qu’ils estimaient utiles à l’appui de leurs allégués. Le dossier comporte ainsi tous les éléments pertinents et nécessaires à l’examen des griefs et arguments mis en avant par les parties, permettant au tribunal de se forger une opinion et de trancher le litige. Partant, dans la mesure où il n’existe pas un droit à leur accomplissement, il ne sera pas donné suite aux mesures d’instruction sollicitées lesquelles seront par conséquent écartées.</w:t>
      </w:r>
    </w:p>
    <w:p>
      <w:r>
        <w:rPr>
          <w:b/>
        </w:rPr>
        <w:t>E. 6</w:t>
      </w:r>
    </w:p>
    <w:p>
      <w:r>
        <w:t>Les recourants font valoir la nullité de la décision querellée en raison de l'usage de la voie de la procédure accélérée au lieu de la procédure ordinaire d'autorisation de construire.</w:t>
      </w:r>
    </w:p>
    <w:p>
      <w:r>
        <w:rPr>
          <w:b/>
        </w:rPr>
        <w:t>E. 7</w:t>
      </w:r>
    </w:p>
    <w:p>
      <w:r>
        <w:t>L'art. 22 LAT prévoit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Selon l'art. 1 al. 1 let. a LCI, nul ne peut, sur tout le territoire du canton, sans y avoir été autorisé, élever en tout ou partie une construction ou une installation.</w:t>
      </w:r>
    </w:p>
    <w:p>
      <w:r>
        <w:rPr>
          <w:b/>
        </w:rPr>
        <w:t>E. 8</w:t>
      </w:r>
    </w:p>
    <w:p>
      <w:r>
        <w:t>La procédure d’autorisation doit permettre à l’autorité de contrôler, avant la réalisation du projet, sa conformité aux plans d'affectation et aux diverses réglementations applicables (ATF 139 II 134 consid. 5.2 ; 123 II 256 consid. 3 ; 119 Ib 222 consid. 3a ; arrêt du Tribunal fédéral 1C_50/2020 du 8 octobre 2020 consid. 6.1).</w:t>
      </w:r>
    </w:p>
    <w:p>
      <w:r>
        <w:t>- 8/17 - A/172/2025</w:t>
      </w:r>
    </w:p>
    <w:p>
      <w:r>
        <w:rPr>
          <w:b/>
        </w:rPr>
        <w:t>E. 9</w:t>
      </w:r>
    </w:p>
    <w:p>
      <w:r>
        <w:t>Dès que les conditions légales sont réunies, le département est tenu de délivrer l'autorisation de construire (art. 1 al. 6 LCI). Aucun travail ne doit toutefois être entrepris avant que l'autorisation n'ait été délivrée (art. 1 al. 7 LCI).</w:t>
      </w:r>
    </w:p>
    <w:p>
      <w:r>
        <w:rPr>
          <w:b/>
        </w:rPr>
        <w:t>E. 10</w:t>
      </w:r>
    </w:p>
    <w:p>
      <w:r>
        <w:t>En matière d’aménagement, les zones à protéger comprennent les localités typiques, les lieux historiques et les monuments naturels ou culturels (art. 17 al. 1 LAT).</w:t>
      </w:r>
    </w:p>
    <w:p>
      <w:r>
        <w:rPr>
          <w:b/>
        </w:rPr>
        <w:t>E. 11</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w:t>
      </w:r>
    </w:p>
    <w:p>
      <w:r>
        <w:rPr>
          <w:b/>
        </w:rPr>
        <w:t>E. 12</w:t>
      </w:r>
    </w:p>
    <w:p>
      <w:r>
        <w:t>La loi sur la protection des monuments, de la nature et des sites du 4 juin 1976 (LPMNS - L 4 05) a notamment pour but de préserver l’aspect caractéristique du paysage et des localités, les immeubles et les sites dignes d’intérêt, ainsi que les beautés naturelles (art. 1 let. b LMPNS).</w:t>
      </w:r>
    </w:p>
    <w:p>
      <w:r>
        <w:rPr>
          <w:b/>
        </w:rPr>
        <w:t>E. 13</w:t>
      </w:r>
    </w:p>
    <w:p>
      <w:r>
        <w:t>Conformément à l'art. 35 LPMNS, sont protégés les sites et paysages, espèces végétales et minéraux qui présentent un intérêt biologique, scientifique, historique, esthétique ou éducatif (al. 1). Constituent notamment des sites les ensembles bâtis qui méritent d'être protégés pour eux-mêmes ou en raison de leur situation privilégiée (al. 2 let. b).</w:t>
      </w:r>
    </w:p>
    <w:p>
      <w:r>
        <w:rPr>
          <w:b/>
        </w:rPr>
        <w:t>E. 14</w:t>
      </w:r>
    </w:p>
    <w:p>
      <w:r>
        <w:t>Selon l'art. 38 LPMNS, le Conseil d’État peut édicter les dispositions nécessaires à l’aménagement ou à la conservation d’un site protégé par l’approbation d’un plan de site assorti, le cas échéant, d’un règlement (al. 1).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c) les cheminements ouverts au public ainsi que les voies d’accès à un site ou à un point de vue ; d) les réserves naturelles (art. 38 al. 2 LMNS).</w:t>
      </w:r>
    </w:p>
    <w:p>
      <w:r>
        <w:rPr>
          <w:b/>
        </w:rPr>
        <w:t>E. 15</w:t>
      </w:r>
    </w:p>
    <w:p>
      <w:r>
        <w:t>Le plan de site, qualifié de plan d'affectation spécial, déploie des effets contraignants pour les particuliers (art. 21 al. 1 LAT ; arrêt du Tribunal fédéral 1P.801/1999 du 16 mars 2000 ; ATA/636/2015 du 16 juin 2015 consid. 2 ; ATA/786/2014 du 7 octobre 2014 ; Thierry TANQUEREL, La participation de la population à l'aménagement du territoire, 1988, p. 260).</w:t>
      </w:r>
    </w:p>
    <w:p>
      <w:r>
        <w:rPr>
          <w:b/>
        </w:rPr>
        <w:t>E. 16</w:t>
      </w:r>
    </w:p>
    <w:p>
      <w:r>
        <w:t>Le règlement du plan de site n° 9______ prévoit, en son article premier, que le plan de site et son règlement ont pour but d'assurer la protection du secteur H______ - F______ pour ses qualités architecturales, paysagères et naturelles, en respectant l'échelle et le caractère des constructions existantes ainsi que le site environnant et sa végétation.</w:t>
      </w:r>
    </w:p>
    <w:p>
      <w:r>
        <w:t>- 9/17 - A/172/2025</w:t>
      </w:r>
    </w:p>
    <w:p>
      <w:r>
        <w:t>Selon son art. 3, le caractère du site doit être préservé. Cette disposition vise en particulier les bâtiments dans leurs substance et principes architecturaux, ainsi que les espaces extérieurs, sous réserve des dispositions prévues à l'article 8, et notamment les éléments suivants : le gabarit, le volume, les matériaux et les teintes, sous réserve des dispositions prévues pour chaque catégorie de bâtiment ; la qualité des espaces extérieurs collectifs et privés, l'arborisation des espaces publics, la végétation et les haies mixtes des jardins ; la qualité et la substance des revêtement de sols ; l'éclairage des cheminements et des espaces publics (al. 1). Tous travaux effectués dans le but d'assurer le confort et la sécurité des habitants, d'améliorer l'isolation thermique et de réaliser des économies d'énergie doivent faire l'objet d'une étude préalable menée en coordination avec les services compétents, de manière à respecter le caractère architectural des bâtiments (al 2).Tous travaux portant atteinte à la substance architecturale des bâtiments ainsi qu'à la qualité des aménagements extérieurs et exécutés sans autorisation peuvent donner lieu à une demande de restitution de l'état antérieur (al. 3).</w:t>
      </w:r>
    </w:p>
    <w:p>
      <w:r>
        <w:t>Son art. 4 stipule que le plan désigne les bâtiments qui sont maintenus, en raison de leurs qualités architecturales et historiques, ainsi que de leur appartenance à un ensemble architectural et paysager digne d'intérêt (al 1). Les éléments dignes de protection doivent être sauvegardés ; il en va ainsi de l'aspect des façades, du profil des toitures, des structures et du décor intérieur (al. 2).</w:t>
      </w:r>
    </w:p>
    <w:p>
      <w:r>
        <w:t>A teneur de son art. 5, le plan désigne les bâtiments avec éléments intéressants, principalement en raison de leur qualité morphologique et leur implantation. En règle générale, ces bâtiments doivent être maintenus. Toutefois, le département, sur préavis favorables de la Ville de K______ et de la CMNS, peut octroyer une dérogation à cette disposition. Des travaux d'entretien ou de transformations nécessaires à une adaptation des locaux peuvent être entrepris sous réserve de l'application des principes architecturaux et paysagers décrits à l'art. 3.</w:t>
      </w:r>
    </w:p>
    <w:p>
      <w:r>
        <w:t>Aux termes de son art. 6, les autres bâtiments peuvent être transformés ou être reconstruits au même emplacement, dans leur gabarit initial (al. 1). Dans tous les cas, les prescriptions figurant à l'art. 3 demeurent applicables (al 2).</w:t>
      </w:r>
    </w:p>
    <w:p>
      <w:r>
        <w:t>Selon son art. 7, dans les aires prévues à cet effet, une nouvelle construction comportant trois niveaux habitables correspondant à R+2 et destinée à l'habitation, peut être autorisée sous réserve de l'application des principes architecturaux et paysagers décrits à l'article 3. La nouvelle construction doit avoir une emprise au sol aussi restreinte que possible afin de respecter les jardins existants (al. 1). Sur les parcelles nos 1053, 1058 et 1624, l'édification d'une construction nouvelle est permise sous réserve de la création des cheminements piétons publics indiqués sur le plan (al. 2). Sur la parcelle no 1053, la délivrance de l'autorisation de construire est subordonnée à la démolition du bâtiment indiqué comme tel sur le plan (al. 3).</w:t>
      </w:r>
    </w:p>
    <w:p>
      <w:r>
        <w:t>D'après son art. 8, en règle générale, la conservation et le développement des valeurs naturelles présentes sur le site doivent être garanties. Les aménagements extérieurs (jardins, haies indigènes, cheminements, terrasses, murets, grilles,</w:t>
      </w:r>
    </w:p>
    <w:p>
      <w:r>
        <w:t>- 10/17 - A/172/2025 portails, murs de soutènement, escaliers, surfaces en pleine terre) doivent être préservés. Les murs, murets et clôtures doivent conserver leur caractère d'origine (al. 1). Les arbres et les haies mixtes d'essences indigènes doivent être privilégiés (al. 2). Les terrasses, les cheminements et les places de stationnement devront être réalisés avec un revêtement perméable naturel (al. 3). La végétation doit être entretenue de façon à maintenir les vues en relation avec l'espace public. Les éventuelles nouvelles plantations doivent s'insérer dans le site en ménageant les vues (al. 4). Les clôtures doivent permettre le passage de la petite faune (al. 5).</w:t>
      </w:r>
    </w:p>
    <w:p>
      <w:r>
        <w:t>A teneur de son art. 9, toute demande d'autorisation de construire portant sur des travaux susceptibles de modifier les typologies, les éléments de construction ou les matériaux des bâtiments maintenus et comportant des éléments intéressants, doit être accompagnée d'une étude d'ensemble comprenant des relevés et des photos de l'état existant et d'une description du projet de modification (al. 1). Au cas où des travaux portant atteinte à la substance architecturale des bâtiments, ainsi qu'à la qualité des espaces extérieurs devraient être exécutés sans autorisation, le département peut ordonner la restitution de l'état antérieur (al. 2)</w:t>
      </w:r>
    </w:p>
    <w:p>
      <w:r>
        <w:rPr>
          <w:b/>
        </w:rPr>
        <w:t>E. 17</w:t>
      </w:r>
    </w:p>
    <w:p>
      <w:r>
        <w:t>Selon l'art. 3 al. 7 LCI, le département peut traiter par une procédure accélérée les demandes d'autorisation relatives à des travaux soumis à l'art. 1 : a) s'ils sont projetés en cinquième zone aux conditions prévues par le titre II, chapitre VI, de la présente loi et lorsqu'aucune dérogation n'est sollicitée ; b) s'ils portent sur la modification intérieure d'un bâtiment existant ou ne modifient pas l'aspect général de celui-ci ; c) pour des constructions nouvelles de peu d'importance ou provisoires ; ou d) à titre exceptionnel, pour des travaux de reconstruction présentant un caractère d'urgence. Sont notamment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2,50 m (art. 3 al. 3 let. a du règlement d'application de la loi sur les constructions et les installations diverses du 27 février 1978 ; RCI - L 5 05.01).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w:t>
      </w:r>
    </w:p>
    <w:p>
      <w:r>
        <w:rPr>
          <w:b/>
        </w:rPr>
        <w:t>E. 18</w:t>
      </w:r>
    </w:p>
    <w:p>
      <w:r>
        <w:t>Dans un arrêt du 11 février 2004 (1P.594/2003), le Tribunal fédéral s'est penché sur la question de savoir si les demandes d'autorisation de construire des logements provisoires pour requérants d'asile pouvaient être traitées par la voie de la procédure</w:t>
      </w:r>
    </w:p>
    <w:p>
      <w:r>
        <w:t>- 11/17 - A/172/2025 accélérée de l'art. 3 al. 7 LCI. En l'occurrence, il s'agissait de quatre pavillons modulaires provisoires de deux niveaux chacun, destinés à accueillir quelque 200 requérants d'asile, avec un parking de 26 places. Ce projet devait permettre de répondre aux besoins urgents du canton de Genève en matière d'hébergement des requérants d'asile. L'autorité de recours avait considéré que l’application de la procédure accélérée était admissible dans un tel cas, à la condition qu'un terme soit défini à l'existence des bâtiments projetés, terme qu'elle avait fixé à trois ans dès l'échéance des travaux. Le Tribunal fédéral a relevé qu'il n'y avait pas lieu d'examiner si les critères dégagés dans la jurisprudence non publiée à laquelle l'autorité de recours s'était référée (ATA/367/2003 du 13 mai 2003 dans lequel elle avait admis, sur la base d'une analyse détaillée des travaux préparatoires, qu'une construction soit qualifiée de provisoire pour autant qu'elle revêtait un caractère urgent, qu'elle pouvait être enlevée facilement et qu'un terme à son existence était prévu) étaient ou non pertinents, l’application faite de ces derniers dans le cas particulier étant de toute manière arbitraire. Il a souligné qu'il était douteux que des constructions de l'ampleur de celles prévues puissent, de manière générale, être traitées par la voie de la procédure accélérée, en raison des nuisances qu'elles induisaient et des infrastructures qu'elles nécessitaient, fussent-elles limitées dans le temps. Peu importait en définitive. Une situation d'urgence imposant le recours à la procédure accélérée ne pourrait de toute manière être envisagée que si la procédure ordinaire ne permettait pas de prescrire suffisamment tôt les mesures commandées par les circonstances (cf. ATF 103 Ia 152 consid. 3a p. 156). Il a encore précisé que si la situation du logement des requérants d'asile dans le canton de Genève était certes préoccupante, avec un déficit chronique en places d'hébergement, il n’était toutefois pas établi qu'elle revêtirait un degré d'urgence tel qu'il serait impossible d'ériger des constructions affectées à cette fin en respectant les délais liés à une procédure ordinaire d'autorisation de construire définie aux art. 3 al. 1 et 2 LCI, avec les garanties de procédure qu'elle comportait pour les tiers. Pour cette raison déjà, l'autorité de recours ne pouvait entériner la voie de la procédure accélérée suivie par l'autorité intimée. En outre, le recours à cette procédure ne se concevait que pour des constructions nouvelles provisoires compatibles avec les normes de la zone dans laquelle elles étaient projetées (cf. en ce sens, Mémorial des séances du Grand Conseil du 8 novembre 1991, p. 4868). Or, de l'aveu même de l'autorité de recours, les pavillons litigieux n'étaient pas conformes en tant qu'ils comportaient un nombre de logements supérieur à celui admis en zone villa, et nécessitaient l'octroi d'une dérogation. Dans ces conditions, il n'était pas possible de traiter le projet litigieux par la voie de la procédure accélérée de l'art. 3 al. 7 LCI.</w:t>
      </w:r>
    </w:p>
    <w:p>
      <w:r>
        <w:rPr>
          <w:b/>
        </w:rPr>
        <w:t>E. 19</w:t>
      </w:r>
    </w:p>
    <w:p>
      <w:r>
        <w:t>S'agissant de la notion de « provisoire », le tribunal de céans a considéré qu'une autorisation de construire des logements modulaires d'urgence temporaires pour migrants délivrée pour une durée de dix ans était difficilement compatible avec cette notion (JTAPI/368/2017 du 7 avril 2017, confirmé par ATA/1461/2017 du 31 octobre 2017).</w:t>
      </w:r>
    </w:p>
    <w:p>
      <w:r>
        <w:t>- 12/17 - A/172/2025 Plus récemment, la chambre administrative a admis le caractère provisoire pour l'installation de 36 classes dans des containers extérieurs de trois niveaux, correspondant à un rez-de-chaussée avec deux étages, d'une hauteur totale de 9,50 m, pour une durée de 30 mois. Ce projet avait été instruit sous la forme d'une demande définitive (ATA/1031/2020 du 13 octobre 2020 consid. 4b).</w:t>
      </w:r>
    </w:p>
    <w:p>
      <w:r>
        <w:rPr>
          <w:b/>
        </w:rPr>
        <w:t>E. 20</w:t>
      </w:r>
    </w:p>
    <w:p>
      <w:r>
        <w:t>Il n’est pas possible de remettre en cause une autorisation de construire par une prétendue violation d’une condition fixée. Cette question relève uniquement de la conformité de la construction à l’autorisation de construire, laquelle ne fait pas l’objet du présent litige qui porte uniquement sur l’autorisation de construire et sa conformité au droit (cf dans ce sens ATA/729/202 précité consid. 4d ; ATA/461/202 du 7 mai 2020 consid. 8d et les références citées).</w:t>
      </w:r>
    </w:p>
    <w:p>
      <w:r>
        <w:rPr>
          <w:b/>
        </w:rPr>
        <w:t>E. 21</w:t>
      </w:r>
    </w:p>
    <w:p>
      <w:r>
        <w:t>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 Toutefois, lorsqu'un préavis est obligatoire, il convient de ne pas le minimiser (ATA/462/2020 du 7 mai 2020 consid. 18 et les références citées).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w:t>
      </w:r>
    </w:p>
    <w:p>
      <w:r>
        <w:rPr>
          <w:b/>
        </w:rPr>
        <w:t>E. 22</w:t>
      </w:r>
    </w:p>
    <w:p>
      <w:r>
        <w:t>L'art. 7 al. 8 LCI précise qu'en matière de procédure accélérée, sauf exception, les préavis des commissions officielles sont exprimés, sur délégation, par les services spécialisés concernés. Si nécessaire, les exceptions sont définies par lesdites commissions.</w:t>
      </w:r>
    </w:p>
    <w:p>
      <w:r>
        <w:rPr>
          <w:b/>
        </w:rPr>
        <w:t>E. 23</w:t>
      </w:r>
    </w:p>
    <w:p>
      <w:r>
        <w:t>La LPMNS institue la CMNS, qui comporte trois sous-commissions (architecture, monuments et antiquités, nature et sites) et dont la compétence est codifiée dans le règlement d’application de la loi sur la protection des monuments, de la nature et des sites du 29 mars 2023 (RPMNS - L 4 05.01 ; art. 3 al. 1 RPMNS).</w:t>
      </w:r>
    </w:p>
    <w:p>
      <w:r>
        <w:t>La CMNS, qui participe à l’élaboration des plans de site (cf. art. 39 LPMNS),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w:t>
      </w:r>
    </w:p>
    <w:p>
      <w:r>
        <w:t>- 13/17 - A/172/2025 est une subdivision de cet office à teneur de l’organigramme du département. La CMNS peut proposer toutes mesures propres à concourir aux buts de la présente loi (art. 47 al. 2 LPMNS).</w:t>
      </w:r>
    </w:p>
    <w:p>
      <w:r>
        <w:rPr>
          <w:b/>
        </w:rPr>
        <w:t>E. 24</w:t>
      </w:r>
    </w:p>
    <w:p>
      <w:r>
        <w:t>Selon l’art. 5 RPMNS, la CMNS donne son préavis sur tout projet de travaux concernant un immeuble situé dans le périmètre d’un plan de site, sous réserve de l’al. 5 (al. 2 let. g). Il appartient au département de la saisir ou de saisir les sous- commissions concernées des projets pour lesquels un préavis ou des propositions sont requis en application de l’al. 2. Lorsqu’un préavis est exprimé par une sous- commission, il vaut préavis de la commission (al. 4). Lorsqu’une demande d’autorisation de construire est soumise à la procédure accélérée au sens de l’art. 3, al. 7 LCI, l’office du patrimoine et des sites est compétent pour rendre le préavis, à l’exception des demandes d’autorisation portant sur un immeuble classé (al. 5).</w:t>
      </w:r>
    </w:p>
    <w:p>
      <w:r>
        <w:rPr>
          <w:b/>
        </w:rPr>
        <w:t>E. 25</w:t>
      </w:r>
    </w:p>
    <w:p>
      <w:r>
        <w:t>En l'espèce, le projet litigieux, autorisé par la voie de la procédure accélérée, prévoit la réalisation de deux pavillons de deux niveaux hors sol chacun, culminant à une hauteur d'environ 6 m, reliés par un escalier au centre et s'étendant sur une surface d'un peu plus de 190 m2. Il est situé au sud de la parcelle n° 1______, à l'emplacement de l'actuel parking de la clinique et vise à lui permettre de relocaliser ses activités durant les travaux de démolition et reconstruction de ses locaux actuels (DD 15_____), dont le chantier a été ouvert fin mars 2025, à teneur des informations disponibles sur la plateforme SAD-Consult. Il s'insère dans le périmètre du plan de site n° 9______, lequel définit spécifiquement les aires d'implantation pour les nouvelles constructions. Le département défend sa décision essentiellement en lien avec le caractère provisoire du projet de construction, au sens de l'art. 3 al. 7 let. c LCI. Il convient dès lors d'examiner si les conditions d'application de cette norme sont remplies. Dans son ATA/367/2003, la chambre administrative a retenu que le caractère provisoire d'une construction au sens de la norme précitée supposait la réalisation de trois critères, soit que la construction concernée revête un caractère urgent, qu'elle puisse être enlevée facilement et qu'un terme soit prévu. Dans l'arrêt 1P.594/2003, annulant cet arrêt, le Tribunal fédéral n’a pas examiné ni remis en cause la pertinence de ces trois critères, fondant uniquement son raisonnement en lien avec l'ampleur du projet, à savoir la réalisation de quatre pavillons de deux niveaux hors sol, destinés à accueillir quelques 200 requérants d'asile, avec un parking de 26 places.</w:t>
      </w:r>
    </w:p>
    <w:p>
      <w:r>
        <w:t>Il en découle que les critères énumérés par la jurisprudence de la chambre administrative permettant de juger l'admissibilité du choix de la procédure accélérée pour des constructions provisoires au sens de l'art. 3 al. 7 let. c LCI ne sont pas déterminants à eux-seuls aux yeux du Tribunal fédéral. Il convient en effet également de prendre en considération l'ampleur du projet pour déterminer s'il peut être instruit par voie de procédure accélérée ou s'il doit l’être par voie ordinaire. Il sera également précisé, à toutes fins utiles, que ces différents critères ont été dégagés dans le contexte spécifique d'une construction provisoire au sens de l'art. 3</w:t>
      </w:r>
    </w:p>
    <w:p>
      <w:r>
        <w:t>- 14/17 - A/172/2025 al. 7 let. c LCI et qu’ils ne s'appliquent que dans le cadre du choix de la procédure d'instruction. En l’occurrence, s'agissant tout d’abord de la remarque des recourants quant au caractère temporaire du projet, s'ils sont d'avis que celui-ci aurait pour vocation de perdurer au-delà de l'échéance de validité de 34 mois prévue par l'autorisation de construire litigieuse, il ne faut pas perdre de vue que les préavis des instances compétentes, notamment l'OU et la commune, prévoient de manière explicite une durée de validité limitée dans le temps (maximum trois ans). À cela s'ajoute que dans son préavis du 2 octobre 2024, le SMS a exigé la remise en état de la parcelle une fois la durée d'autorisation échue. Ces différents préavis ont été repris et intégrés à l'autorisation de construire litigieuse, de sorte qu'ils revêtent une portée juridiquement obligatoire pour la société requérante. Sauf à emboîter le pas aux recourants et faire un procès d’intention à la société intimée et au département, il n’y a donc pas lieu de mettre en doute le caractère provisoire du projet. Le critère relatif au terme est ainsi manifestement donné. Ceci étant dit, s'il est possible d'admettre que le projet puisse être enlevé facilement, il n'est toutefois pas établi qu’il revêtirait un degré d'urgence tel qu'il serait impossible de l'ériger en respectant les délais liés à une procédure ordinaire d'autorisation de construire définie aux art. 3 al. 1 et 2 LCI, avec les garanties de procédure qu'elle comporte pour les tiers. En effet, si le Tribunal fédéral a déjà nié l'urgence de la création de logements d'accueil temporaire pour requérants d'asile, on peine à concevoir une situation d'urgence dans le déplacement temporaire de locaux d'activités de la clinique afin de permettre la continuité de l'exploitation le temps de la réalisation de ses nouveaux locaux. De plus, ni la requérante ni le département n'invoque une quelconque situation d'urgence en lien avec la réalisation du projet litigieux. À cela s'ajoute que ce dernier se situe dans le périmètre du plan de site n° 9______, lequel prévoit spécifiquement des périmètres destinés à l'édification de nouvelles constructions, sans précisions quant à d’éventuelles constructions provisoires (art. 7 du règlement du plan de site n° 9______). Or, de l'aveu du département, le projet litigieux ne se situe pas dans une telle aire d'implantation. En outre, l'art. 8 du règlement du plan de site n° 9______ indique expressément qu'en règle générale, la conservation et le développement des valeurs naturelles présentes sur le site doivent être garanties. Dans cette mesure, il est évident que le projet litigieux n'est pas conforme au plan de site, nonobstant les préavis favorables des instances de préavis, notamment le SMS et l'OU. La durée limitée à trois ans de l'autorisation de construire n'est à cet égard pas pertinente. Par ailleurs, le projet litigieux présente clairement une certaine ampleur. En effet, il s'agit d'une construction sur une surface d'un peu plus de 190 m2 et présentant une hauteur d'environ 7 m de haut. Ce projet ne saurait ainsi être qualifié de construction de peu d'importance au sens de l'art. 7 al. 3 let. c LCI. En outre, il ne faut pas perdre de vue que les constructions projetées viendront s'accoler au container déjà existant, autorisé par l'APA 10_____, pour une durée de 15 ans. S'il n'appartient certes pas</w:t>
      </w:r>
    </w:p>
    <w:p>
      <w:r>
        <w:t>- 15/17 - A/172/2025 au tribunal de céans de remettre en cause cette autorisation, il convient cependant de prendre en considération l'existence de ce premier container pour analyser l'impact visuel et fonctionnel du projet litigieux, en particulier dans le contexte du plan de site n° 9______. Or, vu la hauteur et l'emprise au sol du projet litigieux, il est incontestable que celui-ci ne s'inscrit pas dans l'environnement bâti existant, étant précisé qu'il implique l'abattage d'arbres et le déplacement du parking actuel. Le projet litigieux a ainsi un impact visuel et fonctionnel trop important pour faire l'objet d'une instruction par la voie d'une procédure accélérée, laquelle est réservée par principe aux constructions de faible ampleur. Dans cette mesure, le projet litigieux ne répond pas aux critères d'une construction provisoire pouvant être instruite et autorisée par voie de procédure accélérée au sens de l'art. 3 al. 7 let. c LCI, étant précisé qu'aucune des autres situations de l'art. 3 al. 7 LCI n'est manifestement donnée. Le projet aurait ainsi dû être instruit par la voie de la procédure d'autorisation de construire ordinaire.</w:t>
      </w:r>
    </w:p>
    <w:p>
      <w:r>
        <w:rPr>
          <w:b/>
        </w:rPr>
        <w:t>E. 26</w:t>
      </w:r>
    </w:p>
    <w:p>
      <w:r>
        <w:t>Reste à examiner si cela a pour conséquence la nullité de l'autorisation querellée.</w:t>
      </w:r>
    </w:p>
    <w:p>
      <w:r>
        <w:rPr>
          <w:b/>
        </w:rPr>
        <w:t>E. 27</w:t>
      </w:r>
    </w:p>
    <w:p>
      <w:r>
        <w:t>Selon la jurisprudence, la nullité absolue d'une décision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t>La nullité doit être constatée d'office, en tout temps et par l'ensemble des autorités étatiques (ATF 138 II 501 consid. 3.1 ; 136 II 415 consid. 1.2 ; 132 II 342 consid.</w:t>
      </w:r>
    </w:p>
    <w:p>
      <w:r>
        <w:rPr>
          <w:b/>
        </w:rPr>
        <w:t>E. 28</w:t>
      </w:r>
    </w:p>
    <w:p>
      <w:r>
        <w:t>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 ATA/205/2015 du 24 février 2015 consid. 5 ss ; ATA/725/2013 du 29 octobre 2013 et les références citées ; ATA/303/2000 du 16 mai 2000 consid. 5 et les références citées ; cf. aussi arrêt du Tribunal fédéral 1C_641/2012 du 30 avril 2013 consid. 3.4).</w:t>
      </w:r>
    </w:p>
    <w:p>
      <w:r>
        <w:rPr>
          <w:b/>
        </w:rPr>
        <w:t>E. 29</w:t>
      </w:r>
    </w:p>
    <w:p>
      <w:r>
        <w:t>En l’espèce, conformément à la jurisprudence précitée, l'application de la procédure accélérée au lieu de la procédure ordinaire, comme en l'espèce, constitue un vice particulièrement grave et ainsi un cas de nullité. Partant, le tribunal constatera que la décision APA 19_____ du ______2024 est nulle.</w:t>
      </w:r>
    </w:p>
    <w:p>
      <w:r>
        <w:rPr>
          <w:b/>
        </w:rPr>
        <w:t>E. 30</w:t>
      </w:r>
    </w:p>
    <w:p>
      <w:r>
        <w:t>Compte tenu de ce qui précède, il n'est pas utile d'examiner les autres griefs des recourants.</w:t>
      </w:r>
    </w:p>
    <w:p>
      <w:r>
        <w:rPr>
          <w:b/>
        </w:rPr>
        <w:t>E. 31</w:t>
      </w:r>
    </w:p>
    <w:p>
      <w:r>
        <w:t>Bien fondé, le recours sera admis.</w:t>
      </w:r>
    </w:p>
    <w:p>
      <w:r>
        <w:rPr>
          <w:b/>
        </w:rPr>
        <w:t>E. 32</w:t>
      </w:r>
    </w:p>
    <w:p>
      <w:r>
        <w:t>Vu l'issue du litige, aucun émolument ne sera mis à la charge des recourants, qui obtiennent gain de cause, de sorte que leur avance de frais leur sera restituée (art. 87 al. 1 LPA). Les parties intimées, prises conjointement et solidairement, qui succombent, sont condamnées au paiement d’un émolument s’élevant à CHF 1'000.-. Aucune indemnité de procédure ne leur sera allouée (art. 87 al. 2 LPA). Une indemnité de procédure de CHF 1'200.-, à la charge des parties intimées, prises conjointement et solidairement, sera allouée aux recourants (art. 87 al. 2 à 4 LPA et 6 RFPA).</w:t>
      </w:r>
    </w:p>
    <w:p>
      <w:r>
        <w:t>- 17/17 - A/172/2025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