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JTAPI/982/2022 vom 21. September 2022</w:t>
      </w:r>
    </w:p>
    <w:p>
      <w:r>
        <w:t>GE Cour de justice, 2022-09-21, FR</w:t>
      </w:r>
    </w:p>
    <w:p>
      <w:r>
        <w:rPr>
          <w:b/>
        </w:rPr>
        <w:t xml:space="preserve">Quelle: </w:t>
      </w:r>
      <w:r>
        <w:t>https://mcp.opencaselaw.ch/entscheid/ge_gerichte_JTAPI_982_2022</w:t>
      </w:r>
    </w:p>
    <w:p>
      <w:r>
        <w:t>FR: GE_GERICHTE JTAPI/982/2022 du 21 septembre 2022</w:t>
      </w:r>
    </w:p>
    <w:p>
      <w:r>
        <w:t>IT: GE_GERICHTE JTAPI/982/2022 del 21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- 10/20 - A/587/2022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sollicitent leur comparution personnelle ainsi que l’audition d’un témoin, celle de M. H______.</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arrêts du Tribunal fédéral 1C_ 576/2021 du 1er avril 2021 consid. 3.1 ; 2C_946/2020 du 18 février 2021 consid. 3.1). Par ailleurs, ce droit ne confère pas le droit d’être entendu oralement ou d’obtenir l’audition de témoins (ATF 140 I 68 consid. 9.6.1 ; arrêt du Tribunal fédéral 8C_381/2021 du 17 décembre 2021 consid. 3.2 ; cf. aussi art. 41 in fine LPA).</w:t>
      </w:r>
    </w:p>
    <w:p>
      <w:r>
        <w:rPr>
          <w:b/>
        </w:rPr>
        <w:t>E. 5</w:t>
      </w:r>
    </w:p>
    <w:p>
      <w:r>
        <w:t>En l’espèce, les recourants requièrent leur audition afin d’exposer l’historique de la parcelle litigieuse, le but de leur exploitation ainsi que les raisons pour lesquelles ils ont de bonne foi procédé à une telle activité. De plus, ils sollicitent l’audition de M. H______, architecte ayant déposé le 30 juin 2021 la demande d’autorisation de construire DD 3______, pour attester que l’extrait du plan cadastral avait été annexé à la demande de régularisation. Le tribunal estime que le dossier contient les éléments suffisants et nécessaires, tels qu’ils ressortent des écritures des parties, des pièces produites et du dossier de</w:t>
      </w:r>
    </w:p>
    <w:p>
      <w:r>
        <w:t>- 11/20 - A/587/2022 l’autorité intimée, pour statuer sur le litige en toute connaissance de cause, de sorte qu’il apparaît inutile à la résolution du présent litige de procéder à la comparution des recourants. En tout état, ces derniers ont eu la possibilité de faire valoir leurs arguments, dans le cadre de leur recours puis de leur réplique, et de produire tout moyen de preuve utile en annexe de leurs écritures. Ils n’expliquent pas quels seraient les éléments qu’ils n’auraient pas pu exprimer de manière pertinente et complète dans le cadre de la procédure écrite. Par ailleurs, l’absence de plan cadastral dans le dossier d’autorisation de construire a pu être réparé au cours de la présente procédure puisqu’il a été produit : l’audition de M. H______ sur ce point n’est dès lors pas nécessaire. Dans ces circonstances, il ne sera pas donné suite aux requêtes de mesures d’instruction tendant à la comparution personnelle des recourants ainsi qu’à l’audition de M. H______, en soi non obligatoires.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7</w:t>
      </w:r>
    </w:p>
    <w:p>
      <w:r>
        <w:t>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8</w:t>
      </w:r>
    </w:p>
    <w:p>
      <w:r>
        <w:t>Les recourants arguent que les installations et constructions litigieuses, dédiées à leur activité d’exploitation de bois, sont conformes à la zone agricole.</w:t>
      </w:r>
    </w:p>
    <w:p>
      <w:r>
        <w:rPr>
          <w:b/>
        </w:rPr>
        <w:t>E. 9</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 Il importe, dans la mesure du possible, de délimiter des surfaces continues d'une certaine étendue (art. 16 al. 2 LAT). Dans leurs plans d'aménagement, les cantons tiennent compte</w:t>
      </w:r>
    </w:p>
    <w:p>
      <w:r>
        <w:t>- 12/20 - A/587/2022 de façon adéquate des différentes fonctions des zones agricoles (art. 16 al. 3 LAT). Le législateur précise la notion d’« agriculture » en parlant d’exploitation agricole et d’horticulture productrice. Ce qui relève de l’agriculture se trouve défini à l’art. 3 de la loi sur l'agriculture du 29 avril 1998 (LAgr - RS 910.1) et à l’art. 34 OAT, mis en concordance avec le précédent (production de denrées se prêtant à la consommation et à la transformation de la culture de végétaux et de la garde d’animaux de rente ; traitement, stockage et vente de produits ; exploitation de surfaces proches de leur état naturel).</w:t>
      </w:r>
    </w:p>
    <w:p>
      <w:r>
        <w:rPr>
          <w:b/>
        </w:rPr>
        <w:t>E. 10</w:t>
      </w:r>
    </w:p>
    <w:p>
      <w:r>
        <w:t>L’art. 16a LAT régit uniquement la conformité des constructions et installations à la zone agricole. Est conforme à la zone ce qui correspond à l’affectation prévue. La preuve de cette conformité doit être apportée pour chacune des constructions et installations envisagées (nouveau bâtiment, transformation, annexe, changement d’affectation, etc..). Enfin, un projet non conforme à l’affectation de la zone peut être admissible à titre exceptionnel en vertu des art. 24 à 24e ou de l’art. 37 LAT ((RUCH/MUGLI in Commentaire pratique LAT : construire hors zone à bâtir, 2017, art. 16a, p. 69). Selon l'art. 16a al. 1 LAT, sont conformes à l'affectation de la zone agricole les constructions et installations qui sont nécessaires à l'exploitation agricole ou à l'horticulture productrice. Cette notion de conformité peut être restreinte en vertu de l'art. 16 al. 3 LAT. Il ressort des distinctions faites à l’art. 16a al. 1 LAT que seules peuvent être considérées comme partout conformes à l’affectation de la zone agricole les constructions et installations destinées à l’exploitation tributaire du sol. La dépendance à l’égard du sol signifie que ce dernier est indispensable en tant que facteur de production ou qu’un lien suffisamment étroit existe avec le sol (art. 37 al. 2 OAT). Sont considérées comme tributaires du sol les grandes cultures et les cultures maraîchères dans leur forme traditionnelle ainsi que la production de lait et de viande sur les propres terres de l’exploitation et à partir de celles-ci. Aussi, seule l’horticulture productrice tributaire du sol de façon prépondérante peut être qualifiée de partout conforme à l’affectation de la zone. Est réputée conforme à l’affectation de la zone l’horticulture qui, par son mode d’exploitation et ses besoins en surfaces, est comparable à une utilisation agricole du sol et qui présente un rapport suffisamment étroit avec l’exploitation du sol naturel. Sont notamment visés les établissements pratiquant l’horticulture en pleine terre et qui font pousser les plantes en serre avant de les repiquer en plein champ. La pratique n’exige pas une dépendance totale de l’exploitation à l’égard du sol. C’est pourquoi la conformité à l’affectation de la zone est aussi accordée aux constructions et installations dont la production est « principalement » tributaire du sol, ou de « façon prépondérante ». Ne tombe pas sous le coup de l’art. 16 al. 1 let. a LAT l’horticulture qui relève, non pas de l’exploitation agricole, mais du</w:t>
      </w:r>
    </w:p>
    <w:p>
      <w:r>
        <w:t>- 13/20 - A/587/2022 secteur de la constructions (activité de jardinier-paysagistes) (RUCH/MUGGLI, op. cit., art. 16a, p. 79 ss et art. 16,p. 53). L’art. 16a al. 1bis LAT prévoit que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w:t>
      </w:r>
    </w:p>
    <w:p>
      <w:r>
        <w:rPr>
          <w:b/>
        </w:rPr>
        <w:t>E. 11</w:t>
      </w:r>
    </w:p>
    <w:p>
      <w:r>
        <w:t>En droit genevois,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w:t>
      </w:r>
    </w:p>
    <w:p>
      <w:r>
        <w:rPr>
          <w:b/>
        </w:rPr>
        <w:t>E. 12</w:t>
      </w:r>
    </w:p>
    <w:p>
      <w:r>
        <w:t>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 la production de denrées se prêtant à la consommation et à la transformation et provenant de la culture de végétaux et de la garde d'animaux de rente (let. a) ; l'exploitation de surfaces proches de leur état naturel (let. b). Sont en outre conformes à l'affectation de la zone les constructions et installations qui servent à la préparation, au stockage ou à la vente de produits agricoles ou horticoles (art. 34 al. 2 OAT)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si l'exploitation où se trouvent lesdites constructions et installations conserve son caractère agricole ou horticole (let. c). Sont enfin conformes à l'affectation de la zone les constructions qui servent au logement indispensable à l'entreprise agricole, y compris le logement destiné à la génération qui prend sa retraite (art. 34 al. 3 OAT). Une autorisation ne peut être délivrée (art. 34 al. 4 OAT) que si la construction ou l'installation est nécessaire à l'exploitation en question (let. a), si aucun intérêt prépondérant ne s'oppose à l'implantation de la construction ou de l'installation à l'endroit prévu (let. b), s'il est prévisible que l'exploitation pourra subsister à long terme (let. c). En exigeant que la construction soit nécessaire à l'exploitation en cause, l'art. 34 al. 4 let. a OAT (qui reprend la condition posée à l'art. 16a al. 1 LAT) entend</w:t>
      </w:r>
    </w:p>
    <w:p>
      <w:r>
        <w:t>- 14/20 - A/587/2022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Tribunal fédéral 1C_266/2013 du 9 octobre 2013 consid. 3.1.1 ; 1C_22/2012 du 30 août 2012 consid. 3.2 et les références). En définitive, ces constructions doivent être adaptées, notamment par leur importance et leur implantation, aux besoins objectifs de l'exploitation en cause (ATF 133 II 370 consid. 4.2 ; 129 II 413 consid. 3.2 ; arrêt du Tribunal fédéral 1C_266/2013 du 9 octobre 2013 consid. 3.1.1). Le fait qu'une construction ou une installation soit nécessaire à l'exploitation agricole s'entend comme le fait qu'elle lui soit indispensable (Alexander RUCH, Commentaire de la loi fédérale sur l'aménagement du territoire, 2010, ad art 16a n° 15).</w:t>
      </w:r>
    </w:p>
    <w:p>
      <w:r>
        <w:rPr>
          <w:b/>
        </w:rPr>
        <w:t>E. 13</w:t>
      </w:r>
    </w:p>
    <w:p>
      <w:r>
        <w:t>La jurisprudence a ainsi eu l'occasion de préciser que les bâtiments d’exploitation agricoles – par exemple les étables, les granges, les silos ou les remises – sont considérés comme conformes à l’affectation de la zone si leur implantation à l’endroit choisi est indispensable à l’exploitation rationnelle du sol et s’ils ne sont pas surdimensionnés (ATF 132 II 10 consid. 2.4 p. 17; 118 Ib 335 ; arrêts du Tribunal fédéral 1C_74/2016 du 12 septembre 2016, consid. 2.1; 1C_892/2013 du 1er avril 2015 consid. 3.1; 1C_647/2012 du 3 septembre 2014 consid 11 ; 1C_266/2013 du 9 octobre 2013 consid. 3.1). En d'autres termes, les constructions et installations qui n’ont pas de lien fonctionnel direct avec une exploitation agricole ou horticole tributaire du sol de façon prépondérante ne sont en principe pas autorisées en zone agricole (Message du Conseil fédéral relatif à une révision partielle de la loi fédérale sur l'aménagement du territoire du 22 mai 1996, p. 4 ; ATF 120 Ib 266).</w:t>
      </w:r>
    </w:p>
    <w:p>
      <w:r>
        <w:rPr>
          <w:b/>
        </w:rPr>
        <w:t>E. 14</w:t>
      </w:r>
    </w:p>
    <w:p>
      <w:r>
        <w:t>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15</w:t>
      </w:r>
    </w:p>
    <w:p>
      <w:r>
        <w:t>A Genève, 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Aucun travail ne doit être entrepris avant que l’autorisation n'ait été délivrée (art. 1 al. 7 1ère phrase LCI).</w:t>
      </w:r>
    </w:p>
    <w:p>
      <w:r>
        <w:rPr>
          <w:b/>
        </w:rPr>
        <w:t>E. 16</w:t>
      </w:r>
    </w:p>
    <w:p>
      <w:r>
        <w:t>Les constructions édifiées dans la zone agricole au sens des art. 20 à 22 LaLAT sont soumises à ces dispositions et à celles applicables à la 5ème zone au sens de la</w:t>
      </w:r>
    </w:p>
    <w:p>
      <w:r>
        <w:t>- 15/20 - A/587/2022 LCI (art. 82 al. 1 LCI). En cas d'application des art. 34 à 38 et 40 OAT, le département ne peut délivrer une autorisation qu'avec l'accord, exprimé sous forme d'un préavis, du département chargé de l'agriculture.</w:t>
      </w:r>
    </w:p>
    <w:p>
      <w:r>
        <w:rPr>
          <w:b/>
        </w:rPr>
        <w:t>E. 17</w:t>
      </w:r>
    </w:p>
    <w:p>
      <w:r>
        <w:t>Selon le système prévu par la LCI, les avis ou préavis des communes, des départements et organismes intéressés n'ont qu'un caractère consultatif et l’autorité reste libre de s’en écarter pour des motifs pertinents et en raison d’un intérêt public supérieur (ATA/699/2015 du 30 juin 2015 ; ATA/653/2014 précité consid. 9 ; ATA/51/2013 du 21 janvier 2013). Néanmoins, lorsque la consultation d'une instance de préavis est imposée par la loi, son préavis a un poids certain dans l'appréciation qu'est amenée à effectuer l'autorité de recours et il convient de ne pas le minimiser (ATA/699/2015 du 30 juin 2015 ; ATA/956/2014 du 2 décembre 2014 ; ATA/902/2004 du 16 novembre 2004).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(ATA/284/2016 du 5 avril 2016 consid. 7e ; ATA/86/2015 du 20 janvier 2015; ATA/956/2014 du 2 décembre 2014).</w:t>
      </w:r>
    </w:p>
    <w:p>
      <w:r>
        <w:rPr>
          <w:b/>
        </w:rPr>
        <w:t>E. 18</w:t>
      </w:r>
    </w:p>
    <w:p>
      <w:r>
        <w:t>En l’espèce, il n’est pas contesté que la parcelle litigieuse n° 1______ se situe en zone agricole. L’activité de la recourante consiste notamment en la vente de bois de feu pour cheminées, travaux forestiers, élagage, taille de formation des grands arbres, abattages dangereux et difficiles, transports de bois et copeaux et mise à disposition des entreprises privées et commerciales de chauffeurs de poids lourds, cars. Sur la parcelle n° 1______, elle n’exploite pas les arbres qui s’y trouvent mais procède à la découpe de bois provenant d’autres parcelle et au stockage sur place. Par ailleurs, les installations dont la mise en conformité était demandée dans la requête en autorisation de construire n’avaient jamais été précédemment autorisées par le département. Les recourants estiment que toutes les installations présentes sur la parcelle, à l’exception de la grue qu’ils sont prêts à enlever, répondent au critère de nécessité à l’horticulture productrice. Or, comme l’a retenu à juste titre le département, les recourants ne font pousser aucune plante ou ne procèdent pas à du repiquage de végétaux. Ils n’exploitent en aucune façon le sol de la parcelle. Ladite parcelle était utilisée comme pépinière</w:t>
      </w:r>
    </w:p>
    <w:p>
      <w:r>
        <w:t>- 16/20 - A/587/2022 avant que l’activité de transformation de bois ne débute il y a une quinzaine d’années. Ainsi, la dépendance à l’égard du sol, qui signifie que ce dernier est indispensable en tant que facteur de production ou qu’un lien suffisamment étroit existe avec le sol, fait défaut. Dès lors, l’exploitation des recourants n’est pas une exploitation agricole ou horticole, elle ne peut pas prendre place en zone agricole, et partant les conditions de l’art. 34 al. 4 OAT ne sont pas remplies. Les recourants indiquent que leurs installations litigieuses iraient dans le sens d’une réhabilitation de l’énergie tirée de la biomasse, notablement moins polluante que celle de l’énergie fossile. Toutefois, comme cela ressort des conditions spécifiques de l’art. 16a al. 1bis LAT, la production d’énergie à partir de biomasse n’est pas une activité agricole proprement dite. La biomasse utilisée doit, d’une part, avoir un lien étroit avec l’agriculture en tant que telle et, d’autre part, avec l’exploitation où est sise la construction ou l’installation. Ainsi, une certaine part de la biomasse doit être issue de l’agriculture. L’exploitation des recourants n’étant pas une exploitation agricole, il n’est dès lors pas possible de retenir que leur activité irait dans le sens d’une réhabilitation de l’énergie tirée de la biomasse. Enfin, les recourant ne peuvent tirer aucun profit du courrier de la chambre genevoise d’agriculture de 1993 qui, d’une part, traite de l’utilisation d’un hangar existant sur une autre parcelle et, d’autre part, n’est ni une instance de préavis ni une autorité à même de délivrer une autorisation de construire. C’est donc à juste titre que le département, se fondant sur les préavis défavorables de l’OCAN, de la DAC et de l’OU, a refusé de délivrer l’autorisation de construire.</w:t>
      </w:r>
    </w:p>
    <w:p>
      <w:r>
        <w:rPr>
          <w:b/>
        </w:rPr>
        <w:t>E. 19</w:t>
      </w:r>
    </w:p>
    <w:p>
      <w:r>
        <w:t>Les recourants estiment qu’une dérogation fondée sur les art. 24 LAT et 27 LaLAT ne serait pas nécessaire, car leur demande d’autorisation a pour objet une demande de régularisation et non une nouvelle construction ou installation. La structure des dérogations est la suivante, on distingue tout d’abord entre les dérogations ordinaires (art. 24 LAT) et les dérogations facilitées (art. 24a à 24e LAT). Relèvent des dérogations ordinaires, les dérogations accordées aux projets de construction dont l’implantation est imposée par leur destination. En vertu de l'art.</w:t>
      </w:r>
    </w:p>
    <w:p>
      <w:r>
        <w:rPr>
          <w:b/>
        </w:rPr>
        <w:t>E. 24</w:t>
      </w:r>
    </w:p>
    <w:p>
      <w:r>
        <w:t>Au vu de ce qui précède, le principe de l’égalité de traitement n’a pas été violé.</w:t>
      </w:r>
    </w:p>
    <w:p>
      <w:r>
        <w:rPr>
          <w:b/>
        </w:rPr>
        <w:t>E. 25</w:t>
      </w:r>
    </w:p>
    <w:p>
      <w:r>
        <w:t>Les recourants estiment enfin avoir transmis au département tous les documents nécessaires à l’instruction de leur demande d’autorisation de construire.</w:t>
      </w:r>
    </w:p>
    <w:p>
      <w:r>
        <w:rPr>
          <w:b/>
        </w:rPr>
        <w:t>E. 26</w:t>
      </w:r>
    </w:p>
    <w:p>
      <w:r>
        <w:t>Selon l’art. 9 al. 2 let. b du règlement d’application de la loi sur les constructions et les installations diverses du 27 février 1978 (RCI – L 5 05.01), Il y a lieu de joindre à la demande d’autorisation de construire définitive un extrait du plan cadastral conforme aux alinéas 2 et 4 de l'article 7 de l'ordonnance fédérale sur la mensuration officielle, du 18 novembre 1992,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w:t>
      </w:r>
    </w:p>
    <w:p>
      <w:r>
        <w:t>- 19/20 - A/587/2022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w:t>
      </w:r>
    </w:p>
    <w:p>
      <w:r>
        <w:rPr>
          <w:b/>
        </w:rPr>
        <w:t>E. 27</w:t>
      </w:r>
    </w:p>
    <w:p>
      <w:r>
        <w:t>En l’espèce, le dossier d’autorisation de construire produit par le département dans le cadre de la présente procédure ne contient pas d’extrait cadastral tel que requis par l’art. 9 al. 2 let. a RCI, mais un « plan d’état des lieux » établi par L______, lequel avait été transmis au département à sa demande. C’est donc à juste titre que le DT a retenu que tous les documents utiles n’avaient pas été transmis. Ce plan a une nouvelle fois été produit dans le cadre de la présente procédure : aucun autre plan n’a été par la suite établi correspondant à la demande du département.</w:t>
      </w:r>
    </w:p>
    <w:p>
      <w:r>
        <w:rPr>
          <w:b/>
        </w:rPr>
        <w:t>E. 28</w:t>
      </w:r>
    </w:p>
    <w:p>
      <w:r>
        <w:t>Au vu de ce qui précède, c'est à juste titre que le département a refusé de délivrer l'autorisation querellée, tous les griefs devant être rejetés.</w:t>
      </w:r>
    </w:p>
    <w:p>
      <w:r>
        <w:rPr>
          <w:b/>
        </w:rPr>
        <w:t>E. 29</w:t>
      </w:r>
    </w:p>
    <w:p>
      <w:r>
        <w:t>Le recours sera dès lors rejeté.</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 Il ne sera pas alloué d’indemnité de procédure.</w:t>
      </w:r>
    </w:p>
    <w:p>
      <w:r>
        <w:t>- 20/20 - A/587/2022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