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JTAPI/982/2016 vom 28. September 2016</w:t>
      </w:r>
    </w:p>
    <w:p>
      <w:r>
        <w:t>GE Cour de justice, 2016-09-28, FR</w:t>
      </w:r>
    </w:p>
    <w:p>
      <w:r>
        <w:rPr>
          <w:b/>
        </w:rPr>
        <w:t xml:space="preserve">Quelle: </w:t>
      </w:r>
      <w:r>
        <w:t>https://mcp.opencaselaw.ch/entscheid/ge_gerichte_JTAPI_982_2016</w:t>
      </w:r>
    </w:p>
    <w:p>
      <w:r>
        <w:t>FR: GE_GERICHTE JTAPI/982/2016 du 28 septembre 2016</w:t>
      </w:r>
    </w:p>
    <w:p>
      <w:r>
        <w:t>IT: GE_GERICHTE JTAPI/982/2016 del 28 settembre 2016</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et 116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S’agissant d’un acte soumis à réception, un envoi recommandé est réputé notifié non seulement au moment où son destinataire en prend effectivement possession, mais déjà lorsque cet envoi se trouve dans sa sphère d’influence et qu’il est à même d’en prendre connaissance (ATF 119 V 89 consid. 4c p. 95 ; 115 Ia 12 consid. 3b p. 17 et les références ; arrêt du Tribunal fédéral 2P.259/2006 du 18 avril 2007 consid. 3.1). Lorsque le destinataire d'un envoi recommandé n'est pas atteint et qu'un avis de retrait est déposé dans sa boîte aux lettres ou dans sa case postale, cet envoi est considéré comme notifié au moment où il est retiré. Si le</w:t>
      </w:r>
    </w:p>
    <w:p>
      <w:r>
        <w:t>- 3/4 - A/2678/2016 retrait n'a pas lieu dans le délai de garde de sept jours, il est réputé notifié le dernier jour de ce délai (ATF 134 V 49 consid. 4 p. 51 ; 130 III 396 consid. 1.2.3 p. 399 ; arrêt du Tribunal fédéral 1C_171/2011 du 26 mai 2011).</w:t>
      </w:r>
    </w:p>
    <w:p>
      <w:r>
        <w:rPr>
          <w:b/>
        </w:rPr>
        <w:t>E. 4</w:t>
      </w:r>
    </w:p>
    <w:p>
      <w:r>
        <w:t>En l’espèce, la demande de paiement de l’avance de frais a été correctement acheminée, par courrier recommandé du 18 août 2016, à l’adresse des recourants, qui correspondait par ailleurs à celle indiquée dans l’acte de recours. Les recourants n’ont pas retiré à la Poste ce courrier, de sorte que celui-ci a été retourné au tribunal au terme du délai de garde de sept jours avec l’indication « non réclamé ». Dans ces circonstances, en application de la jurisprudence susvisée, force est de constater que la demande de paiement de l’avance de frais a été notifiée de manière régulière le dernier jour du délai de garde, soit le 26 août 2016. Il en résulte que les parties recourantes sont réputées en avoir pris connaissance à cette date. Le délai qui continuait alors à courir pour l’avance de frais demeurait par ailleurs raisonnable au sens de la loi.</w:t>
      </w:r>
    </w:p>
    <w:p>
      <w:r>
        <w:rPr>
          <w:b/>
        </w:rPr>
        <w:t>E. 5</w:t>
      </w:r>
    </w:p>
    <w:p>
      <w:r>
        <w:t>Au vu de ce qui précède, le tribunal ne peut que constater que l’avance de frais n'a pas été effectuée dans le délai imparti. A cela s’ajoute que rien ne permet de retenir que les recourants ont été victimes d’un empêchement non fautif de s’acquitter en temps utile du montant réclamé.</w:t>
      </w:r>
    </w:p>
    <w:p>
      <w:r>
        <w:rPr>
          <w:b/>
        </w:rPr>
        <w:t>E. 6</w:t>
      </w:r>
    </w:p>
    <w:p>
      <w:r>
        <w:t>Partant, le recours doit être déclaré irrecevable.</w:t>
      </w:r>
    </w:p>
    <w:p>
      <w:r>
        <w:rPr>
          <w:b/>
        </w:rPr>
        <w:t>E. 7</w:t>
      </w:r>
    </w:p>
    <w:p>
      <w:r>
        <w:t>Vu l’issue du recours, un émolument de CHF 350.- sera mis à la charge des recourants, pris conjointement et solidairement, (art. 87 al. 1 LPA et 1 et 2 du règlement sur les frais, émoluments et indemnités en procédure administrative du 30 juillet 1986 - RFPA - E 5 10.03).</w:t>
      </w:r>
    </w:p>
    <w:p>
      <w:r>
        <w:t>- 4/4 - A/2678/2016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