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JTAPI/981/2024 vom 3. Oktober 2024</w:t>
      </w:r>
    </w:p>
    <w:p>
      <w:r>
        <w:t>GE Cour de justice, 2024-10-03, FR</w:t>
      </w:r>
    </w:p>
    <w:p>
      <w:r>
        <w:rPr>
          <w:b/>
        </w:rPr>
        <w:t xml:space="preserve">Quelle: </w:t>
      </w:r>
      <w:r>
        <w:t>https://mcp.opencaselaw.ch/entscheid/ge_gerichte_JTAPI_981_2024</w:t>
      </w:r>
    </w:p>
    <w:p>
      <w:r>
        <w:t>FR: GE_GERICHTE JTAPI/981/2024 du 3 octobre 2024</w:t>
      </w:r>
    </w:p>
    <w:p>
      <w:r>
        <w:t>IT: GE_GERICHTE JTAPI/981/2024 del 3 ottobre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______,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 vol a d'ores et déjà été réservé pour le 8 octobre 2024.</w:t>
      </w:r>
    </w:p>
    <w:p>
      <w:r>
        <w:t>- 4/7 - A/3230/2024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L'art. 76 al. 1 let. b ch. 1 LEI, renvoyant à l'art 75 al. 1 let. h de cette même loi, dispose qu'une mesure de détention administrative peut être ordonnée si une décision de première instance de renvoi ou d'expulsion a été notifiée à l'intéressé, que celui-ci n’est pas titulaire d’une autorisation de courte durée, de séjour ou d’établissement et a été condamné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9</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10</w:t>
      </w:r>
    </w:p>
    <w:p>
      <w:r>
        <w:t>Enfin, une mise en détention administrative est aussi envisageable si des éléments concrets font craindre que la personne entend se soustraire au renvoi ou à</w:t>
      </w:r>
    </w:p>
    <w:p>
      <w:r>
        <w:t>- 5/7 - A/3230/2024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11</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12</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13</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14</w:t>
      </w:r>
    </w:p>
    <w:p>
      <w:r>
        <w:t>En l'espèce, M. A______ ne dispose d’aucun statut légal en Suisse et a fait l’objet d’une mesure d’expulsion judiciaire prononcée 20 octobre 2012, pour une durée de cinq ans. Il a par ailleurs été condamné pénalement pour un crime au sens de l’art. 10 al. 2 CP. Il existe ainsi un intérêt public évident à l’éloignement de Suisse de M. A______, condamné pour un crime et revenu en Suisse au mépris de la décision d’expulsion prononcée à son encontre. Sans domicile fixe ni source de revenu légal, son comportement dénote un mépris total de l’ordre juridique suisse et des décisions prises à son encontre. Il existe ainsi des éléments faisant craindre qu'il se soustraie à son renvoi en Albanie et disparaisse dans la clandestinité s’il était remis en liberté, de sorte que toute autre mesure moins incisive que la détention administrative serait</w:t>
      </w:r>
    </w:p>
    <w:p>
      <w:r>
        <w:t>- 6/7 - A/3230/2024 vaine pour assurer sa présence au moment où il devra monter dans l’avion devant le reconduire dans son pays d’origine.</w:t>
      </w:r>
    </w:p>
    <w:p>
      <w:r>
        <w:rPr>
          <w:b/>
        </w:rPr>
        <w:t>E. 15</w:t>
      </w:r>
    </w:p>
    <w:p>
      <w:r>
        <w:t>Les conditions de l’art. 76 al. 1 let. b ch. 1, 3 et 4 LEI cum 75 al. 1 let. c et h LEI sont ainsi réalisées.</w:t>
      </w:r>
    </w:p>
    <w:p>
      <w:r>
        <w:rPr>
          <w:b/>
        </w:rPr>
        <w:t>E. 16</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17</w:t>
      </w:r>
    </w:p>
    <w:p>
      <w:r>
        <w:t>En l'espèce, l'autorité chargée du renvoi a agi avec diligence et célérité, dès lors qu'elle a immédiatement procédé à la réservation d'une place sur un vol de ligne pour permettre le renvoi de M. A______ dans son pays d'origine, lequel pourra avoir lieu le 8 octobre 2024 déjà.</w:t>
      </w:r>
    </w:p>
    <w:p>
      <w:r>
        <w:rPr>
          <w:b/>
        </w:rPr>
        <w:t>E. 18</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19</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20</w:t>
      </w:r>
    </w:p>
    <w:p>
      <w:r>
        <w:t>En l’espèce, la durée de la détention de M. A______ respecte le principe de la proportionnalité étant rappelé qu’elle prendra fin rapidement s’il prend le vol qui lui a été réservé pour le 8 octobre 2024. Dans le cas contraire, elle permettra à l’autorité d’entreprendre de nouvelles démarches pour exécuter le renvoi de l’intéressé et/ou solliciter la prolongation de la détention administrative.</w:t>
      </w:r>
    </w:p>
    <w:p>
      <w:r>
        <w:rPr>
          <w:b/>
        </w:rPr>
        <w:t>E. 21</w:t>
      </w:r>
    </w:p>
    <w:p>
      <w:r>
        <w:t>Partant, il y a lieu de confirmer l'ordre de mise en détention administrative pour une durée de trois semaines.</w:t>
      </w:r>
    </w:p>
    <w:p>
      <w:r>
        <w:rPr>
          <w:b/>
        </w:rPr>
        <w:t>E. 22</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8 octobre 2024 au plus tard, si l'exécution du renvoi s'est concrétisée ou non.</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A/3230/2024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