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JTAPI/980/2024 vom 3. Oktober 2024</w:t>
      </w:r>
    </w:p>
    <w:p>
      <w:r>
        <w:t>GE Cour de justice, 2024-10-03, FR</w:t>
      </w:r>
    </w:p>
    <w:p>
      <w:r>
        <w:rPr>
          <w:b/>
        </w:rPr>
        <w:t xml:space="preserve">Quelle: </w:t>
      </w:r>
      <w:r>
        <w:t>https://mcp.opencaselaw.ch/entscheid/ge_gerichte_JTAPI_980_2024</w:t>
      </w:r>
    </w:p>
    <w:p>
      <w:r>
        <w:t>FR: GE_GERICHTE JTAPI/980/2024 du 3 octobre 2024</w:t>
      </w:r>
    </w:p>
    <w:p>
      <w:r>
        <w:t>IT: GE_GERICHTE JTAPI/980/2024 del 3 ottobre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- 7/11 - A/3191/2024</w:t>
      </w:r>
    </w:p>
    <w:p>
      <w:r>
        <w:rPr>
          <w:b/>
        </w:rPr>
        <w:t>E. 2</w:t>
      </w:r>
    </w:p>
    <w:p>
      <w:r>
        <w:t>Déposée en temps utile et dans les formes prescrites devant la juridiction compétente, l'opposition est recevable au sens de l'art. 11 al. 1 LVD. La demande de prolongation formulée en audience l’est également.</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w:t>
      </w:r>
    </w:p>
    <w:p>
      <w:r>
        <w:t>- 8/11 - A/3191/2024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La personne éloignée est tenue, dans un délai de trois jours ouvrables après notification de la décision, de prendre contact et de convenir d’un entretien avec une institution habilitée à recevoir les auteurs présumés de violence domestique (art. 10 al. 1 LVD). Elle est tenue de se présenter à cet entretien. Cette obligation est mentionnée dans la décision d’éloignement (al. 2). L’entretien est destiné à aider la personne éloignée à évaluer sa situation. Elle reçoit à cette occasion des informations socio-thérapeutiques et juridiques (al. 3). La police s’assure du respect des obligations imposées à la personne éloignée (al. 4).</w:t>
      </w:r>
    </w:p>
    <w:p>
      <w:r>
        <w:rPr>
          <w:b/>
        </w:rPr>
        <w:t>E. 6</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rPr>
          <w:b/>
        </w:rPr>
        <w:t>E. 7</w:t>
      </w:r>
    </w:p>
    <w:p>
      <w:r>
        <w:t>La mesure d’éloignement peut être prolongée pour trente jours au plus. Depuis le prononcé initial de la mesure, sa durée totale ne peut excéder nonante jours (art. 11 al. 2 LVD).</w:t>
      </w:r>
    </w:p>
    <w:p>
      <w:r>
        <w:rPr>
          <w:b/>
        </w:rPr>
        <w:t>E. 8</w:t>
      </w:r>
    </w:p>
    <w:p>
      <w:r>
        <w:t>Le tribunal dispose pour statuer d’un délai de quatre jours dès réception de l’opposition. En cas de demande de prolongation, il statue avant l’expiration de la mesure. Son pouvoir d’examen s’étend à l’opportunité. S’il n’a pas statué à l’échéance du délai, la mesure cesse de déployer ses effets (art. 11 al. 3 LVD).</w:t>
      </w:r>
    </w:p>
    <w:p>
      <w:r>
        <w:rPr>
          <w:b/>
        </w:rPr>
        <w:t>E. 9</w:t>
      </w:r>
    </w:p>
    <w:p>
      <w:r>
        <w:t>Lorsqu'il statue sur le bien-fondé d'une mesure d'éloignement, de même que lorsqu’il est saisi d’une demande de prolongation d’une telle mesure, qui porte atteinte à la liberté personnelle de son destinataire, le tribunal doit s'assurer que cette mesure respecte le principe de la proportionnalité, garanti par l'art. 36 de la Constitution fédérale suisse du 18 avril 1999 (Cst. - RS 101), qui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w:t>
      </w:r>
    </w:p>
    <w:p>
      <w:r>
        <w:rPr>
          <w:b/>
        </w:rPr>
        <w:t>E. 10</w:t>
      </w:r>
    </w:p>
    <w:p>
      <w:r>
        <w:t>En l'espèce, il apparait que les déclarations des époux sont totalement contradictoires tant sur les évènements qui se sont déroulés le 1er octobre dernier ayant conduit à la mesure d’éloignement que les épisodes précédents, notamment</w:t>
      </w:r>
    </w:p>
    <w:p>
      <w:r>
        <w:t>- 9/11 - A/3191/2024 ceux du 5 août 2024. Il peut cependant être retenu que la situation au sein du couple est très conflictuelle et que les époux s’accordent sur la volonté de divorcer, des discussions entre leurs conseils respectifs ayant été entamées. Il ressort des pièces du dossier qu’une forte altercation a eu lieu le 1er octobre dernier lors de laquelle une bouteille de jus de citron a été lancée par la fenêtre pour atterrir sur le trottoir et que des objets ont été brisés dans l’appartement, sans qu’il soit possible de déterminer qui des deux époux a commis ces actes. Il y a également en tout cas eu des insultes de part et d’autre. Selon les rapports de police, cette dernière est intervenue à plusieurs reprises au domicile des époux, en particulier le 5 août 2024, interventions notamment en lien avec des épisodes de violence conjugale, ce que les deux époux reconnaissent. Dès lors, les faits tels que décrits par les deux époux correspondent sans conteste à la notion de violence domestique, au sens défini plus haut. Dans ces circonstances, la question n'est pas de savoir lequel des intéressés est plus responsable que l'autre de la situation, ce qui est bien souvent impossible à établir, surtout dans le cas d’espèce. L'essentiel est de séparer les conjoints en étant au moins à peu près certain que celui qui est éloigné du domicile conjugal est lui aussi l'auteur de violences, lesquelles peuvent également être psychologiques.</w:t>
      </w:r>
    </w:p>
    <w:p>
      <w:r>
        <w:t>Vu en particulier le caractère récent des événements, de la situation conflictuelle et complexe dans laquelle les deux intéressés se trouvent et la procédure en divorce qui va prochainement être intentée, la perspective qu'ils se retrouvent immédiatement sous le même toit apparaît inopportune, quand bien même il est évident qu'une mesure d'éloignement administrative ne permettra pas, à elle seule, de régler la situation.</w:t>
      </w:r>
    </w:p>
    <w:p>
      <w:r>
        <w:t>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Mme A______. Prise pour une durée allant du 1er octobre 2024 à 5h00 au 11 octobre à 17h00 et non 10 octobre 2024 comme mentionné par erreur sur la décision - la durée minimale étant de dix jours -, soit donc la durée la plus courte prévue par la loi, elle n'apparaît pas d'emblée disproportionnée.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t>L'opposition sera rejetée.</w:t>
      </w:r>
    </w:p>
    <w:p>
      <w:r>
        <w:rPr>
          <w:b/>
        </w:rPr>
        <w:t>E. 11</w:t>
      </w:r>
    </w:p>
    <w:p>
      <w:r>
        <w:t>Concernant la demande de prolongation formulée en audience, à laquelle Mme A______ s’oppose, le tribunal retiendra que cette dernière n’a pas tenté d’entrer en contact avec son mari depuis le prononcé de la mesure, la respectant ainsi et qu’elle s’est engagée à se rendre auprès d’une institution habilitée à l’entretien thérapeutique et juridique.</w:t>
      </w:r>
    </w:p>
    <w:p>
      <w:r>
        <w:t>- 10/11 - A/3191/2024 Si, certes, il n’apparait pas adéquat que les époux se retrouvent immédiatement sous le même toit, la période de dix jours d'éloignement confirmée ci-avant apparait suffisante pour apaiser la situation et laisser le temps aux époux de réfléchir à la situation dans laquelle se trouve leur couple et leurs difficultés, mais également à la manière dont leur vie sous le même toit va reprendre – étant rappelé que la mesure d'éloignement a pour objectif d'empêcher la réitération d'actes de violence, mais non de permettre aux personnes concernées de s'organiser pour modifier le cadre et les modalités de leur relation personnelle. Par conséquent, la demande de prolongation de la mesure sera rejetée.</w:t>
      </w:r>
    </w:p>
    <w:p>
      <w:r>
        <w:rPr>
          <w:b/>
        </w:rPr>
        <w:t>E. 12</w:t>
      </w:r>
    </w:p>
    <w:p>
      <w:r>
        <w:t>La mesure d’éloignement est ainsi confirmée pour une durée allant jusqu’au 11 octobre 2024 à 17h00.</w:t>
      </w:r>
    </w:p>
    <w:p>
      <w:r>
        <w:rPr>
          <w:b/>
        </w:rPr>
        <w:t>E. 13</w:t>
      </w:r>
    </w:p>
    <w:p>
      <w:r>
        <w:t>Enfin, il sera rappelé que Mme A______ pourra, le cas échéant, venir chercher dans l'appartement conjugal ses effets personnels, à une date préalablement convenue par les parties et accompagnée de la police.</w:t>
      </w:r>
    </w:p>
    <w:p>
      <w:r>
        <w:rPr>
          <w:b/>
        </w:rPr>
        <w:t>E. 14</w:t>
      </w:r>
    </w:p>
    <w:p>
      <w:r>
        <w:t>Il ne sera pas perçu d'émolument (art. 87 al. 1 LPA).</w:t>
      </w:r>
    </w:p>
    <w:p>
      <w:r>
        <w:rPr>
          <w:b/>
        </w:rPr>
        <w:t>E. 15</w:t>
      </w:r>
    </w:p>
    <w:p>
      <w:r>
        <w:t>Un éventuel recours déposé contre le présent jugement n'aura pas d'effet suspensif (art. 11 al. 1 LVD ; rapport rendu le 1er juin 2010 par la commission judiciaire et de la police chargée d'étudier le PL 10582, p. 17).</w:t>
      </w:r>
    </w:p>
    <w:p>
      <w:r>
        <w:t>- 11/11 - A/3191/2024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