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JTAPI/979/2024 vom 3. Oktober 2024</w:t>
      </w:r>
    </w:p>
    <w:p>
      <w:r>
        <w:t>GE Cour de justice, 2024-10-03, FR</w:t>
      </w:r>
    </w:p>
    <w:p>
      <w:r>
        <w:rPr>
          <w:b/>
        </w:rPr>
        <w:t xml:space="preserve">Quelle: </w:t>
      </w:r>
      <w:r>
        <w:t>https://mcp.opencaselaw.ch/entscheid/ge_gerichte_JTAPI_979_2024</w:t>
      </w:r>
    </w:p>
    <w:p>
      <w:r>
        <w:t>FR: GE_GERICHTE JTAPI/979/2024 du 3 octobre 2024</w:t>
      </w:r>
    </w:p>
    <w:p>
      <w:r>
        <w:t>IT: GE_GERICHTE JTAPI/979/2024 del 3 ottobre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- 4/8 - A/3185/2024 Il doit y procéder dans les nonante-six heures qui suivent l'ordre de mise en détention (art. 80 al. 2 LEI ; 9 al. 3 LaLEtr).</w:t>
      </w:r>
    </w:p>
    <w:p>
      <w:r>
        <w:rPr>
          <w:b/>
        </w:rPr>
        <w:t>E. 2</w:t>
      </w:r>
    </w:p>
    <w:p>
      <w:r>
        <w:t>En l'espèce, le tribunal a été valablement saisi et respecte le délai précité en statuant ce jour, la détention administrative ayant débuté le 30 septembre 2024 à 11h00.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2C_756/2009 du 15 décembre 2009 consid. 2.1).</w:t>
      </w:r>
    </w:p>
    <w:p>
      <w:r>
        <w:rPr>
          <w:b/>
        </w:rPr>
        <w:t>E. 4</w:t>
      </w:r>
    </w:p>
    <w:p>
      <w:r>
        <w:t>À teneur de l'art. 76 al. 1 let. b ch. 1 LEI par renvoi de l'art.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(art. 75 al. 1 let. c LEI).</w:t>
      </w:r>
    </w:p>
    <w:p>
      <w:r>
        <w:rPr>
          <w:b/>
        </w:rPr>
        <w:t>E. 5</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6</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7</w:t>
      </w:r>
    </w:p>
    <w:p>
      <w:r>
        <w:t>En l'occurrence, M. A______ fait l'objet d'une interdiction d'entrée en Suisse prononcée le 15 mars 2007 pour une durée de vingt ans. A cela s'ajoute qu’il est</w:t>
      </w:r>
    </w:p>
    <w:p>
      <w:r>
        <w:t>- 5/8 - A/3185/2024 revenu en Suisse pendant la période d’interdiction à tout le moins à neuf reprises et qu'il a été condamné à plusieurs reprises pour ces faits, démontrant, par ce comportement, son total mépris des ordres et décisions prises à son encontre. Il a d'ailleurs bravé les interdits par simple commodité car, à le suivre, il était plus aisé de se rendre à Genève qu'à Paris pour obtenir de nouveaux documents d'identité auprès des représentations consulaires albanaises. Pour ce motif, la détention administrative apparaît comme le seul moyen apte à permettre l'exécution effective de son renvoi. Sa détention administrative apparait ainsi fondée dans son principe.</w:t>
      </w:r>
    </w:p>
    <w:p>
      <w:r>
        <w:rPr>
          <w:b/>
        </w:rPr>
        <w:t>E. 8</w:t>
      </w:r>
    </w:p>
    <w:p>
      <w:r>
        <w:t>L’assurance de son départ de Suisse répond enfin à un intérêt public certain.</w:t>
      </w:r>
    </w:p>
    <w:p>
      <w:r>
        <w:rPr>
          <w:b/>
        </w:rPr>
        <w:t>E. 9</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En l'espèce, l'autorité chargée du renvoi a agi avec diligence et célérité, dès lors qu'elle a immédiatement engagé la procédure de réadmission afin d'obtenir un laissez-passer en faveur de M. A______ et que dès réception, elle réservera une place sur un vol de ligne à destination de l'Albanie pour permettre son renvoi.</w:t>
      </w:r>
    </w:p>
    <w:p>
      <w:r>
        <w:rPr>
          <w:b/>
        </w:rPr>
        <w:t>E. 11</w:t>
      </w:r>
    </w:p>
    <w:p>
      <w:r>
        <w:t>M. A______ prétend que son expulsion ne peut être réalisée vu ses problèmes de santé et qu'en conséquence, sa détention ne peut être ordonnée.</w:t>
      </w:r>
    </w:p>
    <w:p>
      <w:r>
        <w:rPr>
          <w:b/>
        </w:rPr>
        <w:t>E. 12</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w:t>
      </w:r>
    </w:p>
    <w:p>
      <w:r>
        <w:t>- 6/8 - A/3185/2024</w:t>
      </w:r>
    </w:p>
    <w:p>
      <w:r>
        <w:rPr>
          <w:b/>
        </w:rPr>
        <w:t>E. 13</w:t>
      </w:r>
    </w:p>
    <w:p>
      <w:r>
        <w:t>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w:t>
      </w:r>
    </w:p>
    <w:p>
      <w:r>
        <w:rPr>
          <w:b/>
        </w:rPr>
        <w:t>E. 14</w:t>
      </w:r>
    </w:p>
    <w:p>
      <w:r>
        <w:t>En l'espèce, le rapport médical dans le domaine du retour du 2 octobre 2024 fait état d'acromégalie, de plaies, de polytoxicomanie et d'une hépatite B chronique. Selon ledit rapport, l’intéressé suit un traitement médicamenteux de méthadone, de mydocalm et de valium. En l’état, aucun élément ne permet de retenir que ces affections rendraient le renvoi de l’intéressé impossible quand bien-même une 2ème intervention sur l'hypophyse est recommandée.</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- 7/8 - A/3185/2024</w:t>
      </w:r>
    </w:p>
    <w:p>
      <w:r>
        <w:rPr>
          <w:b/>
        </w:rPr>
        <w:t>E. 16</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17</w:t>
      </w:r>
    </w:p>
    <w:p>
      <w:r>
        <w:t>En l'espèce, eu égard à l'ensemble des circonstances, il y a lieu de confirmer l'ordre de mise en détention administrative pour une durée de six semaines, qui respecte en soi l'art. 79 LEI et n'apparaît pas disproportionnée.</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A/3185/2024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