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JTAPI/977/2024 vom 3. Oktober 2024</w:t>
      </w:r>
    </w:p>
    <w:p>
      <w:r>
        <w:t>GE Cour de justice, 2024-10-03, FR</w:t>
      </w:r>
    </w:p>
    <w:p>
      <w:r>
        <w:rPr>
          <w:b/>
        </w:rPr>
        <w:t xml:space="preserve">Quelle: </w:t>
      </w:r>
      <w:r>
        <w:t>https://mcp.opencaselaw.ch/entscheid/ge_gerichte_JTAPI_977_2024</w:t>
      </w:r>
    </w:p>
    <w:p>
      <w:r>
        <w:t>FR: GE_GERICHTE JTAPI/977/2024 du 3 octobre 2024</w:t>
      </w:r>
    </w:p>
    <w:p>
      <w:r>
        <w:t>IT: GE_GERICHTE JTAPI/977/2024 del 3 ottobre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1.5</w:t>
      </w:r>
    </w:p>
    <w:p>
      <w:r>
        <w:t>;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w:t>
      </w:r>
    </w:p>
    <w:p>
      <w:r>
        <w:t>- 21/31 - A/3721/2023 Ainsi, si un recourant est libre de contester tout ou partie de la décision attaquée, il ne peut pas prendre, dans son mémoire de recours, des conclusions qui sortent du cadre des questions traitées dans la procédure antérieure (ATA/4418/2019 du 23 mars 2021, consid.10b; ATA/185/2020 précité consid. 2b).</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Mme BB_____ et consorts ainsi que Mme et M. D______ ont requis que soit ordonnée la vérification, sur mandat du SABRA, par une entité indépendante, de la fiche de données en allant sur site pour identifier les LUS et mesurer les rayonnements émis, afin notamment de vérifier si l’analyse effectuée par le SABRA prenait en compte tous les éléments pertinents et si les calculs avaient bien été effectués.</w:t>
      </w:r>
    </w:p>
    <w:p>
      <w:r>
        <w:rPr>
          <w:b/>
        </w:rPr>
        <w:t>E. 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w:t>
      </w:r>
    </w:p>
    <w:p>
      <w:r>
        <w:t>- 20/31 - A/3721/2023 celles-ci ne l’amèneront pas à modifier son opinion ou si le fait à établir résulte déjà des constatations ressortant du dossier (ATF 138 III 374 consid. 4.3.2 ; 131 I 153 consid. 3).</w:t>
      </w:r>
    </w:p>
    <w:p>
      <w:r>
        <w:rPr>
          <w:b/>
        </w:rPr>
        <w:t>E. 5</w:t>
      </w:r>
    </w:p>
    <w:p>
      <w:r>
        <w:t>En l’espèce, compte tenu du résultat auquel le tribunal parviendra à l’issue de l’examen du bien-fondé du recours qui sera effectué ci-après, il sera retenu, par le biais d’une appréciation anticipée des faits, que les mesures d’instruction requises ne sont pas nécessaires pour trancher le présent litige. Par conséquent, les requêtes tendant à la réalisation de ces mesures, en soi non obligatoires, seront rejetées.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7</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7.6</w:t>
      </w:r>
    </w:p>
    <w:p>
      <w:r>
        <w:t>et les arrêts cités).</w:t>
      </w:r>
    </w:p>
    <w:p>
      <w:r>
        <w:rPr>
          <w:b/>
        </w:rPr>
        <w:t>E. 8</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w:t>
      </w:r>
    </w:p>
    <w:p>
      <w:r>
        <w:rPr>
          <w:b/>
        </w:rPr>
        <w:t>E. 9</w:t>
      </w:r>
    </w:p>
    <w:p>
      <w:r>
        <w:t>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(ATA/648/2016 du 26 juillet 2016 consid. 2b).</w:t>
      </w:r>
    </w:p>
    <w:p>
      <w:r>
        <w:rPr>
          <w:b/>
        </w:rPr>
        <w:t>E. 10</w:t>
      </w:r>
    </w:p>
    <w:p>
      <w:r>
        <w:t>La recourante se prévaut d’un abus du pouvoir d’appréciation de l’autorité intimée, voire d’un comportement arbitraire de la part de cette dernière, dans le cadre de l’application de la clause d’esthétique.</w:t>
      </w:r>
    </w:p>
    <w:p>
      <w:r>
        <w:rPr>
          <w:b/>
        </w:rPr>
        <w:t>E. 11</w:t>
      </w:r>
    </w:p>
    <w:p>
      <w:r>
        <w:t>Aucune construction ou installation ne peut être créée ou transformée sans autorisation de l'autorité compétente (art. 22 al. 1 de la loi fédérale sur l’aménagement du territoire du 22 juin 1979 - LAT - RS 700 ; art. 1 al. 1 LCI).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w:t>
      </w:r>
    </w:p>
    <w:p>
      <w:r>
        <w:rPr>
          <w:b/>
        </w:rPr>
        <w:t>E. 12</w:t>
      </w:r>
    </w:p>
    <w:p>
      <w:r>
        <w:t>Selon l’art. 4 al. 5 LCI, l’autorisation est caduque si les travaux ne sont pas entrepris dans les deux ans qui suivent sa publication dans la Feuille d’avis officielle. En cas de recours, le délai est suspendu pendant la durée comprise entre cette publication et la fin de la procédure, y compris une éventuelle instance devant une juridiction fédérale. En cas de recours contre une autorisation de construire, la durée de validité des autres autorisations délivrées par le département en relation avec l’autorisation principale et nécessaires à la réalisation du projet, telles les autorisations de démolir ou de transformer, est prolongée jusqu’à l’échéance de validité reportée de l’autorisation de construire. Le présent alinéa s’applique par analogie aux autorisations énergétiques et aux autorisations d’abattage d’arbres délivrées en relation avec une autorisation de construire (al. 6). Lorsque la demande en est présentée un mois au moins avant l’échéance du délai fixé à l’alinéa précédent, le département peut prolonger d’une année la validité de l’autorisation de construire; dans ce cas, la présentation des pièces prévues à l’art.</w:t>
      </w:r>
    </w:p>
    <w:p>
      <w:r>
        <w:t>- 22/31 - A/3721/2023 2 al. 2, n’est pas exigible (al. 7). Sous réserve de circonstances exceptionnelles, l'autorisation ne peut être prolongée que deux fois (al. 8).</w:t>
      </w:r>
    </w:p>
    <w:p>
      <w:r>
        <w:rPr>
          <w:b/>
        </w:rPr>
        <w:t>E. 13</w:t>
      </w:r>
    </w:p>
    <w:p>
      <w:r>
        <w:t>La caducité est la conséquence de l'absence de travaux dans le délai mentionné à l'art. 4 al. 5 LCI, ce délai étant un délai de péremption (arrêt du Tribunal fédéral 1A.150/2001 du 31 janvier 2002, consid. 1.1.3). L’intérêt au respect de l’autorité de la chose jugée et de la bonne foi n’est pas pertinent lorsque l’autorisation de construire, ayant perdu son autorité de chose jugée en raison de l’écoulement de sa période de validité, est devenue caduque (arrêts du Tribunal fédéral 1C_294/2023 du 13 février 2024 ; 1C_273/2021 du 28 avril 2022, 1C_587/2017 du 19 mars 2018). A fortiori, il n’existe pas de droit à se voir délivrer une seconde autorisation de construire, même pour un projet quasi identique, plusieurs années après la fin de la période de validité de la première autorisation (ATA/555/2022 du 24 mai 2022 consid. 10 ; ATA/199/2022 du 22 février 2022 consid. 9a). Une autorisation de construire ne crée pas de droit acquis mais, lorsqu’elle est utilisée, elle a pour effet durable de légitimer la construction autorisée (ATA/199/2022 du 22 février 2022 consid. 9a et la réf. citée). Dans le cadre de l’arrêt 1C_294/2024 précité concernant un recours contre un jugement cantonal confirmant une décision de refus de délivrer une autorisation définitive de construire précédée d’une autorisation préalable devenue caduque à l’échéance du délai de validité de deux ans, le Tribunal fédéral a considéré que le DT était fondé à procéder à un nouvel examen global du projet, en tenant compte des positions actuelles de l’OCAN et de la commune, quand bien même aucun changement législatif n’était intervenu depuis la délivrance de l’autorisation préalable. En raison de la caducité, respectivement de la péremption frappant l’autorisation préalable, il était notamment sans pertinence que le projet litigieux présente des similitudes avec le projet précédent et que ce dernier ait, en son temps, été préavisé favorablement par l’ensemble des services étatiques concernés (consid. 3.3).</w:t>
      </w:r>
    </w:p>
    <w:p>
      <w:r>
        <w:rPr>
          <w:b/>
        </w:rPr>
        <w:t>E. 14</w:t>
      </w:r>
    </w:p>
    <w:p>
      <w:r>
        <w:t>Une décision est arbitraire (art. 9 Cst)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arrêts du Tribunal fédéral 1C_523/2019 du 1er avril 2021 consid. 2 ; 2C_713/2020 du 8 décembre 2020 consid. 2.3 ; 1C_12/2019 du 11 novembre 2019 consid. 2.1.1).</w:t>
      </w:r>
    </w:p>
    <w:p>
      <w:r>
        <w:t>- 23/31 - A/3721/2023</w:t>
      </w:r>
    </w:p>
    <w:p>
      <w:r>
        <w:rPr>
          <w:b/>
        </w:rPr>
        <w:t>E. 15</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 La nécessité d'assurer une couverture adéquate du réseau de téléphonie mobile sur tout le territoire suisse, qu'il soit bâti ou non (ATF 138 III 570 consid. 4.2), constitue un intérêt public qui découle de l'art. 92 al. 2 Cst. et de l'art. 1 al. 1 et 2 de la loi sur les télécommunications du 30 avril 1997 (LTC - RS 784.10 ;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w:t>
      </w:r>
    </w:p>
    <w:p>
      <w:r>
        <w:rPr>
          <w:b/>
        </w:rPr>
        <w:t>E. 16</w:t>
      </w:r>
    </w:p>
    <w:p>
      <w:r>
        <w:t>Depuis quelques décennies en Suisse, les mesures de protection du patrimoine ne s'appliquent plus uniquement à des monuments exceptionnels ou à des œuvres d'art mais visent des objets très divers du patrimoine architectural du pays, parce qu'ils sont des témoins caractéristiques d'une époque ou d'un style (CI_____, La protection des monuments historiques, 1982, p. 25). La jurisprudence a pris acte de cette évolution (ATF 126 I 219 consid. 2 p. 223 ; arrêt du Tribunal fédéral 1C_300/2011 du 3 février 2012 consid. 5.1.1 ; ATA/895/2023 du 22 août 2023 consid. 4.5 ; ATA/423/2023 du 25 avril 2023 consid. 5.1).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XIXe siècle et la nécessité de sauvegarder un patrimoine plus récent, voire contemporain. Néanmoins, comme tout objet construit ne mérite pas une protection, il faut procéder à une appréciation d'ensemble, en fonction des critères objectifs ou scientifiques (ATA/423/2023 précité consid. 5.1 et les arrêts cités).</w:t>
      </w:r>
    </w:p>
    <w:p>
      <w:r>
        <w:rPr>
          <w:b/>
        </w:rPr>
        <w:t>E. 17</w:t>
      </w:r>
    </w:p>
    <w:p>
      <w:r>
        <w:t>L’art. 15 LCI prévoit que le département peut interdire ou n’autoriser que sous réserve de modification toute construction qui, par ses dimensions, sa situation ou son aspect extérieur nuirait au caractère ou à l’intérêt d’un quartier, d’une rue ou</w:t>
      </w:r>
    </w:p>
    <w:p>
      <w:r>
        <w:t>- 24/31 - A/3721/2023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(ATA/1102/2022 précité consid. 6c et l'arrêt cité). Lorsque la consultation de la CA est imposée par la loi, le préavis de cette commission a un poids certain dans l'appréciation qu'est amenée à effectuer l'autorité de recours (ATA/1101/2022 précité consid. 5d et l'arrêt cité). Il n'en demeure pas moins que la délivrance des autorisations de construire demeure de la compétence exclusive du département, à qui il appartient de statuer en tenant compte de tous les intérêts en présence (ATA/1168/2023 du 31 octobre 2023 consid. 4.8. et les arrêts cités).</w:t>
      </w:r>
    </w:p>
    <w:p>
      <w:r>
        <w:rPr>
          <w:b/>
        </w:rPr>
        <w:t>E. 18</w:t>
      </w:r>
    </w:p>
    <w:p>
      <w:r>
        <w:t>L’art. 15 LCI reconnaît ainsi au département un large pouvoir d'appréciation. Ce dernier n'est limité que par l'excès ou l'abus du pouvoir d'appréciation (ATA/383/2023 du 18 avril 2023 consid. 5.3.1).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w:t>
      </w:r>
    </w:p>
    <w:p>
      <w:r>
        <w:rPr>
          <w:b/>
        </w:rPr>
        <w:t>E. 19</w:t>
      </w:r>
    </w:p>
    <w:p>
      <w:r>
        <w:t>Les installations de téléphonie mobile peuvent être soumises aux dispositions cantonales ou communales d'esthétique ou d'intégration (arrêt du Tribunal fédéral 1C_371/2020 du 9 février 2021 consid. 3.2 et les références citées; ACST/11/2021 du 15 avril 2021 consid. 8a). Dans l'application d'une clause générale d'esthétique, l'autorité ne doit cependant pas se laisser guider par son sentiment subjectif ; il lui appartient de motiver soigneusement son appréciation (ATF 141 II 245, consid. 4.1 non publié ; arrêt du Tribunal fédéral 1C_49/2015 du 9 décembre 2015 consid. 3.3), en particulier d'indiquer les raisons pour lesquelles elle considère qu'une construction ou une installation serait de nature à enlaidir le site (ATF 115 Ia 363</w:t>
      </w:r>
    </w:p>
    <w:p>
      <w:r>
        <w:t>- 25/31 - A/3721/2023 consid. 3b ; arrêt du Tribunal fédéral 1C_465/2010 du 31 mai 2011 consid. 3.2 et les arrêts cités). Les normes précitées doivent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Une intervention de l'autorité communale ou cantonale sur la base d'une clause d'esthétique ou de dispositions communales de portée analogue doit se justifier par un intérêt public prépondérant, tel que la protection d'un site ou d'un ensemble de bâtiments présentant des qualités esthétiques remarquables (ATF 101 Ia 213 consid. 6c ; arrêt du Tribunal fédéral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(art. 2 al. 3 LAT). L'autorité de recours doit toutefois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 145 I 52 consid. 3.6). Aussi,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r>
        <w:t>- 26/31 - A/3721/2023</w:t>
      </w:r>
    </w:p>
    <w:p>
      <w:r>
        <w:rPr>
          <w:b/>
        </w:rPr>
        <w:t>E. 20</w:t>
      </w:r>
    </w:p>
    <w:p>
      <w:r>
        <w:t>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LTC ou la LAT (arrêts du Tribunal fédéral 1A.22/2004 et 1P.66/2004 du 1er juillet 2004 consid. 4.3 et les références citées).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21</w:t>
      </w:r>
    </w:p>
    <w:p>
      <w:r>
        <w:t>En l’espèce, il convient de déterminer en premier lieu si l’autorité intimée était fondée, sur le principe, à s’écarter de l’appréciation effectuée par ses soins dans le cadre de l’autorisation DD 4______. À ce propos, il sera constaté que l’autorisation DD 4______ délivrée le ______ 2014 n’a pas été mise en œuvre et n’a fait l’objet d’aucune demande de prolongation de validité de la part de la recourante, ce qui n’est pas contesté par les parties. Dès lors, conformément aux dispositions légales et à la jurisprudence précitées, cette autorisation est devenue caduque à l’échéance d’un délai de deux ans, soit le 24 juillet 2016. Ainsi, celle-ci a perdu toute validité. En effet, l’autorité ne saurait être liée par une autorisation délivrée antérieurement, sans égard au temps écoulé depuis sa</w:t>
      </w:r>
    </w:p>
    <w:p>
      <w:r>
        <w:t>- 27/31 - A/3721/2023 délivrance, alors qu’il ressort explicitement du texte clair de l’art. 4 al. 5 LCI qu’à l’échéance du délai fixé par la loi, l’autorisation précédemment délivrée devient caduque. L’autorité intimée, tout comme les instances de préavis consultées dans le cadre de l’instruction de la DD 8______, n’étaient donc plus liées par la DD 4______. Dès lors, la similarité ou non du projet litigieux avec celui ayant été autorisé dans le cadre de la DD 4______ est sans pertinence. Le département, tout comme les instances de préavis, étaient donc en droit d’examiner librement l’ensemble des questions soulevées par le nouveau projet enregistré sous DD 8______ et, partant, de s’écarter de leurs appréciations antérieures respectives. En tout état, force est de constater que les projets visés par les DD 4______ et DD 8______ ne sont pas identiques, notamment s’agissant de l’emplacement du mât destiné à accueillir les antennes ainsi que de la taille desdites antennes, celles du projet litigieux étant de quelques centimètres plus grandes que les anciens modèles examinés dans le cadre de la DD 4______. Pour le surplus, neuf années séparent la délivrance de la première autorisation de construire du dépôt de la demande d’autorisation litigieuse. Vu cet écoulement du temps, il se justifie d’autant plus que les autorités compétentes soient en mesure de revoir librement le nouveau projet soumis. Retenir le contraire reviendrait à obliger l’autorité intimée, même de nombreuses années plus tard, à restreindre son pouvoir d’examen lorsqu’un projet ressemblant a été autorisé par le passé, ce qui reviendrait de facto à violer les principes posés par la LCI et la jurisprudence tels que cités plus haut. En conclusion, il ne saurait dans le présent cas être retenu qu’en procédant à un nouvel examen global du projet et en tenant compte, dans ce cadre, de la nouvelle position de la CA à cet égard, l’autorité intimée aurait fait preuve d’un comportement contradictoire ou mésusé de son pouvoir d’appréciation. En outre, pour les mêmes motifs, il ne peut être considéré que la décision attaquée contredit clairement la situation de fait, viole gravement une norme ou un principe juridique claire et indiscuté ou heurte de manière choquante le sentiment de justice et d’équité. Partant, infondé, le grief d’abus du pouvoir d’appréciation et d’arbitraire en lien avec le fait que l’autorité intimée a procédé in casu à une appréciation différente de celle effectuée dans le cadre de la DD 4______ sera écarté.</w:t>
      </w:r>
    </w:p>
    <w:p>
      <w:r>
        <w:rPr>
          <w:b/>
        </w:rPr>
        <w:t>E. 22</w:t>
      </w:r>
    </w:p>
    <w:p>
      <w:r>
        <w:t>S’agissant de l’examen du bien-fondé de l’application de l’art. 15 LCI, le tribunal relève tout d’abord que l’autorité intimée a considéré, dans ses observations, que la recourante confondait la problématique de l’installation des antennes de télécommunication avec celle de l’implantation du mât, précisant pour le surplus que la CA s’était, dans ses deux préavis, prononcée défavorablement s’agissant de la construction même du mât et en aucun cas sur l’installation des antennes. Dans le même sens, le DT a encore expliqué que la législation en matière de télécommunication ne s’appliquait pas in casu ; la présente cause ne pourrait être</w:t>
      </w:r>
    </w:p>
    <w:p>
      <w:r>
        <w:t>- 28/31 - A/3721/2023 appréhendée qu’à la lumière de la clause d’esthétique de l’art. 15 LCI par rapport à l’installation projetée, indépendamment des éléments qu’elle prévoyait d’accueillir. Toutefois, le tribunal constate qu’il ne saurait être fait abstraction de la présence projetée desdites antennes, contrairement à ce que prétend l’autorité intimée. À ce titre, il sera relevé que la demande d’autorisation de construire litigieuse porte sur la construction d’une nouvelle installation mobile pour le compte de la recourante et non sur la réalisation d’un mât uniquement. Figure d’ailleurs en annexe de cette requête une fiche de données, laquelle aurait été inutile si seul un mât avait été concerné. Pour le surplus, le projet querellé a été soumis par le DT au SABRA pour préavis, ce qui n’aurait nullement été nécessaire si ce dernier devait être appréhendé uniquement sous l’angle d’une simple construction, comme le prétend le DT. Enfin, la décision de refus d’autorisation contestée indique expressément, tout comme l’ensemble des préavis, que la construction concernée consiste en une nouvelle installation mobile sur pylône. Dès lors que le projet litigieux concerne une installation de téléphonie mobile, les dispositions constitutionnelles et légales ainsi que les principes jurisprudentiels – tels qu’exposés ci-dessus - relatifs à ce type d’installations trouvaient application in casu. Ainsi notamment, devait être pris en compte, dans le cadre du prononcé de la décision attaquée, l’intérêt public que constitue la nécessité d’assurer une couverture adéquate du réseau de téléphonie mobile sur tout le territoire suisse. En outre, l’art. 15 LCI devait être appliqué dans les limites du droit supérieur, en particulier le droit fédéral des télécommunications. Or, in casu, il n’a pas été démontré ni même allégué que le DT aurait procédé à la pesée des intérêts décrite supra, notamment au regard des dispositions légales applicables en matière de télécommunications. Au contraire, ce dernier explique lui-même considérer - à tort comme vu ci-dessus - que la construction litigieuse est le mât et non les antennes de téléphonie. Dans le même sens, force est de constater qu’il ne ressort pas des éléments au dossier que le DT aurait collaboré à la recherche de solutions alternatives praticables, conformément aux conditions posées par la jurisprudence en matière de téléphonie mobile. Par conséquent, force est de constater que la décision rendue ne prend pas en considération les intérêts publics consacrés par la législation fédérale en matière de télécommunications, ni l’obligation de couverture incombant aux opérateurs. Le tribunal étant lié par l’objet du litige, circonscrit notamment par la décision de refus attaquée, laquelle est fondée uniquement sur une violation de l’art. 15 LCI, il ne saurait examiner cette question dans le cadre de la présente procédure de recours, sauf à priver les concernés d’un droit à l’examen de cette question par le biais d’un double degré de juridiction. Pour les mêmes motifs et faute pour l’autorité intimée d’avoir examiné le projet litigieux sous cet angle, il ne sera pas entré en matière sur les griefs des intervenants</w:t>
      </w:r>
    </w:p>
    <w:p>
      <w:r>
        <w:t>- 29/31 - A/3721/2023 relatifs à diverses violations des dispositions techniques applicables aux installations de téléphonie mobile.</w:t>
      </w:r>
    </w:p>
    <w:p>
      <w:r>
        <w:rPr>
          <w:b/>
        </w:rPr>
        <w:t>E. 23</w:t>
      </w:r>
    </w:p>
    <w:p>
      <w:r>
        <w:t>Eu égard aux développements qui précèdent, la décision attaquée sera annulée. La présente cause sera renvoyée à l’autorité intimée afin que le projet litigieux soit examiné en tant qu’installation de téléphonie mobile et non uniquement de mât et que sa conformité avec les dispositions et principes applicables en matière de téléphonie mobile soit déterminée par l’autorité intimée.</w:t>
      </w:r>
    </w:p>
    <w:p>
      <w:r>
        <w:t>Le recours est ainsi admis quant à la première des conclusions principales de la recourante mais rejeté quant à la seconde de ses conclusions principales et la seconde de ses conclusions subsidiaires.</w:t>
      </w:r>
    </w:p>
    <w:p>
      <w:r>
        <w:t>À cet égard, dans la mesure où il appartient à l'autorité intimée de reprendre l'instruction du dossier, il est précisé que le présent jugement constitue une décision incidente.</w:t>
      </w:r>
    </w:p>
    <w:p>
      <w:r>
        <w:t>Le recours est ainsi partiellement admis.</w:t>
      </w:r>
    </w:p>
    <w:p>
      <w:r>
        <w:rPr>
          <w:b/>
        </w:rPr>
        <w:t>E. 24</w:t>
      </w:r>
    </w:p>
    <w:p>
      <w:r>
        <w:t>Vu l’issue du litige, il ne sera pas perçu d’émolument (art. 87 al. 1 LPA). L’avance de frais de CHF 900.- versée par la recourante lui sera restituée.</w:t>
      </w:r>
    </w:p>
    <w:p>
      <w:r>
        <w:rPr>
          <w:b/>
        </w:rPr>
        <w:t>E. 25</w:t>
      </w:r>
    </w:p>
    <w:p>
      <w:r>
        <w:t>Une indemnité de procédure de CHF 1’200.-, à la charge de l’État de Genève, soit pour lui le département du territoire, de Mme C______ et M. D______, de Mme E______ et consorts ainsi que de Mme BB_____ et consorts, pris conjointement et solidairement, sera allouée à la recourante (art. 87 al. 2 à 4 LPA et 6 RFPA.</w:t>
      </w:r>
    </w:p>
    <w:p>
      <w:r>
        <w:t>- 30/31 - A/3721/2023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