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JTAPI/969/2021 vom 21. September 2021</w:t>
      </w:r>
    </w:p>
    <w:p>
      <w:r>
        <w:t>GE Cour de justice, 2021-09-21, FR</w:t>
      </w:r>
    </w:p>
    <w:p>
      <w:r>
        <w:rPr>
          <w:b/>
        </w:rPr>
        <w:t xml:space="preserve">Quelle: </w:t>
      </w:r>
      <w:r>
        <w:t>https://mcp.opencaselaw.ch/entscheid/ge_gerichte_JTAPI_969_2021</w:t>
      </w:r>
    </w:p>
    <w:p>
      <w:r>
        <w:t>FR: GE_GERICHTE JTAPI/969/2021 du 21 septembre 2021</w:t>
      </w:r>
    </w:p>
    <w:p>
      <w:r>
        <w:t>IT: GE_GERICHTE JTAPI/969/2021 del 21 settembre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présente cause est régie par la loi fédérale sur les étrangers et l'intégration du 16 décembre 2005 (LEI - RS 142.20), et de l'ordonnance relative à l'admission, au séjour et à l'exercice d'une activité lucrative du 24 octobre 2007 (OASA - RS 142.201).</w:t>
      </w:r>
    </w:p>
    <w:p>
      <w:r>
        <w:t>- 6/9 - A/2658/2021 S'appliquent également, en matière de visas, le règlement (CE) n° 810/2009 du Parlement européen et du Conseil de l'Union européenne du 13 juillet 2009 établissant un code communautaire des visas (Code des visas) et le règlement (UE) n° 154/2012 du 15 février 2012, modifiant le règlement (CE) n° 810/2009.</w:t>
      </w:r>
    </w:p>
    <w:p>
      <w:r>
        <w:rPr>
          <w:b/>
        </w:rPr>
        <w:t>E. 6</w:t>
      </w:r>
    </w:p>
    <w:p>
      <w:r>
        <w:t>Tout étranger entré légalement dans l’espace Schengen peut y séjourner sans exercer d’activité lucrative, pendant trois mois (90 jours) sur une période de six mois (180 jours) sans autorisation sauf si la durée fixée dans le visa (pour les personnes soumises à l’obligation du visa) est plus courte (art. 10 al. 1 LEI et 9 al. 1 OASA et art. 6 du règlement (UE) 2016/399 du Parlement européen et du Conseil du 9 mars 2016 concernant un code de l'Union relatif au régime de franchissement des frontières par les personnes (code frontières Schengen).</w:t>
      </w:r>
    </w:p>
    <w:p>
      <w:r>
        <w:rPr>
          <w:b/>
        </w:rPr>
        <w:t>E. 7</w:t>
      </w:r>
    </w:p>
    <w:p>
      <w:r>
        <w:t>L’étranger qui prévoit un séjour avec activité lucrative ou un séjour de plus de trois mois sans activité lucrative doit être titulaire d’une autorisation. Il doit la solliciter avant son entrée en Suisse auprès de l’autorité compétente du lieu de résidence envisagé (art. 10 al. 2 et art. 11 LEI). Est considérée comme activité lucrative toute activité salariée ou indépendante, qui procure normalement un gain, même si elle est exercée gratuitement (art 11 al. 2 LEI). En cas d'activité salariée, la demande d'autorisation est déposée par l'employeur (art. 11 al. 3 LEI).</w:t>
      </w:r>
    </w:p>
    <w:p>
      <w:r>
        <w:rPr>
          <w:b/>
        </w:rPr>
        <w:t>E. 8</w:t>
      </w:r>
    </w:p>
    <w:p>
      <w:r>
        <w:t>Les conditions d'octroi d'une autorisation de travail sont régies par les dispositions de la LEI et de ses ordonnances d'application, ainsi que, conformément à l'art. 89 OASA, par les directives émises par le SEM (Directives et circulaires, Séjour avec activité lucrative, état au 1er août 2021 ; ci-après : directives LEI), qui ne lient pas le juge, mais dont celui-ci peut tenir compte pour assurer une application uniforme de la loi envers chaque administré, pourvu qu'elles respectent le sens et le but de la norme applicable (cf. not. ATA/1660/2019 du 12 novembre 2019; ATA/1094/2019 du 25 juin 2019).</w:t>
      </w:r>
    </w:p>
    <w:p>
      <w:r>
        <w:rPr>
          <w:b/>
        </w:rPr>
        <w:t>E. 9</w:t>
      </w:r>
    </w:p>
    <w:p>
      <w:r>
        <w:t>Qu'il s'agisse d'une première prise d'emploi, d'un changement d'emploi ou du passage du statut de travailleur salarié vers un statut de travailleur indépendant, une décision cantonale préalable concernant le marché du travail est nécessaire pour l'admission en vue de l'exercice de l'activité lucrative (art. 40 al. 2 LEI). Aux termes de l'art. 83 al. 1 let. a OASA,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 À Genève, la compétence pour traiter les demandes d'autorisation de séjour avec prise d'emploi est dévolue à l’office cantonal de l’inspection et des relations du travail OCIRT (cf. ATA/1660/2019 du 12 novembre 2019 consid. 3c et les références citées).</w:t>
      </w:r>
    </w:p>
    <w:p>
      <w:r>
        <w:t>- 7/9 - A/2658/2021</w:t>
      </w:r>
    </w:p>
    <w:p>
      <w:r>
        <w:rPr>
          <w:b/>
        </w:rPr>
        <w:t>E. 10</w:t>
      </w:r>
    </w:p>
    <w:p>
      <w:r>
        <w:t>Les étrangers disposant d’un visa pour un séjour de trois mois au plus doivent demander la prolongation de leur visa quatorze jours avant son expiration auprès de l’autorité cantonale compétente en matière d’étrangers (art. 88 al. 1 OASA), lorsqu’ils ne peuvent pas quitter la Suisse dans les délais fixés par le visa ou lorsque le but de leur séjour a changé (art. 11 OASA). La durée de validité et/ou la durée de séjour prévue dans un visa délivré est prolongée si les autorités compétentes de l’Etat membre concerné considèrent que le titulaire du visa a démontré l’existence d’une force majeure ou de raisons humanitaires l’empêchant de quitter le territoire des Etats membres avant la fin de la durée de validité du visa ou de la durée du séjour qu’il autorise (art. 33 al. 1 1ère phr. du règlement (CE) n°810/2009. Par « force majeure », on entend, par exemple, une modification à la dernière minute, par la compagnie aérienne, d’un horaire de vol (en raison des conditions météorologiques ou d’une grève) et, par « raisons humanitaires », la maladie grave et soudaine de la personne concernée (impliquant qu’elle ne soit pas en mesure de voyager) ou la maladie grave et soudaine ou le décès d’un parent proche vivant dans un Etat membre (annexe de décision d'exécution de la Commission modifiant la décision C(2010) 1620 final en ce qui concerne le remplacement du Manuel relatif au traitement des demandes de visa et à la modification des visas délivrés (ci-après: Manuel des visas I), partie V. ch. I p. 134).</w:t>
      </w:r>
    </w:p>
    <w:p>
      <w:r>
        <w:t>La durée de validité et/ou la durée du séjour prévue dans un visa délivré peut être prolongée si son titulaire démontre l’existence de raisons personnelles graves justifiant la prolongation de la durée de validité ou de séjour (art. 33 al. 2 1ère phr. du code des visas ; Manuel des visas I, partie V. ch. I p. 134).</w:t>
      </w:r>
    </w:p>
    <w:p>
      <w:r>
        <w:t>Comme exemple de « raisons personnelles impératives » justifiant la prolongation d’un visa, le Manuel des visas (p. 135) cite le cas d’un ressortissant d’un Etat tiers qui se rend dans un Etat membre de la CE pour y chercher un membre de la famille ayant subi une opération. La veille de la date de départ prévue, le patient fait une rechute et n’est autorisé à quitter l’hôpital que deux semaines plus tard. Il cite également le cas d’un ressortissant d’un Etat tiers qui se rend dans un Etat membre de la CE pour négocier un contrat avec une compagnie de cet Etat et visiter plusieurs sites de production. Les négociations durent plus longtemps que prévu et il doit rester une semaine de plus. En revanche, ne constitue pas une raison personnelle impérative le fait, pour un ressortissant d’un Etat tiers qui s’est rendu dans un Etat membre pour prendre part à une réunion familiale et qui y rencontre un ancien ami, de vouloir prolonger son séjour de deux semaines.</w:t>
      </w:r>
    </w:p>
    <w:p>
      <w:r>
        <w:rPr>
          <w:b/>
        </w:rPr>
        <w:t>E. 11</w:t>
      </w:r>
    </w:p>
    <w:p>
      <w:r>
        <w:t>En l’espèce, la recourante a demandé la prolongation de son visa de nonante jours afin de pouvoir continuer à prodiguer des soins à ses employeurs, dont l'état de santé actuel ne permet pas un retour aux Bahamas.</w:t>
      </w:r>
    </w:p>
    <w:p>
      <w:r>
        <w:t>- 8/9 - A/2658/2021 Ce motif médical, dans la mesure où il ne concerne pas la recourante elle-même, ni un membre de sa famille, ne constitue manifestement pas un cas de force majeure, une raison humanitaire ou une raison personnelle grave justifiant la prolongation de son visa. La recourante n'est en effet pas personnellement empêchée de quitter la Suisse et sa demande de prolongation de visa a uniquement pour but de lui permettre de poursuivre l'exercice d'une activité lucrative non autorisée en Suisse, ce qui n'est pas admissible. Comme rappelé par l'autorité intimée dans la décision entreprise et dans ses observations du 24 août 2021, toute activité exercée sur le territoire suisse doit faire l'objet d'une demande de permis préalable, ce qui, en l'état du dossier, n'a pas été le cas.</w:t>
      </w:r>
    </w:p>
    <w:p>
      <w:r>
        <w:rPr>
          <w:b/>
        </w:rPr>
        <w:t>E. 12</w:t>
      </w:r>
    </w:p>
    <w:p>
      <w:r>
        <w:t>Entièrement mal fondé, le recours sera donc rejeté, ce qui rend sans objet la demande de mesures provisionnelles formulée par la recourante.</w:t>
      </w:r>
    </w:p>
    <w:p>
      <w:r>
        <w:rPr>
          <w:b/>
        </w:rPr>
        <w:t>E. 13</w:t>
      </w:r>
    </w:p>
    <w:p>
      <w:r>
        <w:t>En application des art. 87 al. 1 LPA et 1 et 2 du règlement sur les frais, émoluments et indemnités en procédure administrative du 30 juillet 1986 (RFPA - E 5 10.03), un émolument de CHF 500.- sera mis à la charge de la recourante, qui succombe. Vu cette issue, aucune indemnité de procédure ne lui sera allouée (art. 87 al. 2 LPA a contrario).</w:t>
      </w:r>
    </w:p>
    <w:p>
      <w:r>
        <w:rPr>
          <w:b/>
        </w:rPr>
        <w:t>E. 14</w:t>
      </w:r>
    </w:p>
    <w:p>
      <w:r>
        <w:t>En vertu des art. 89 al. 2 et 111 al. 2 de la loi sur le Tribunal fédéral du 17 juin 2005 (LTF - RS 173.110), le présent jugement sera communiqué au secrétariat d'État aux migrations.</w:t>
      </w:r>
    </w:p>
    <w:p>
      <w:r>
        <w:t>- 9/9 - A/2658/2021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