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JTAPI/965/2021 vom 20. September 2021</w:t>
      </w:r>
    </w:p>
    <w:p>
      <w:r>
        <w:t>GE Cour de justice, 2021-09-20, FR</w:t>
      </w:r>
    </w:p>
    <w:p>
      <w:r>
        <w:rPr>
          <w:b/>
        </w:rPr>
        <w:t xml:space="preserve">Quelle: </w:t>
      </w:r>
      <w:r>
        <w:t>https://mcp.opencaselaw.ch/entscheid/ge_gerichte_JTAPI_965_2021</w:t>
      </w:r>
    </w:p>
    <w:p>
      <w:r>
        <w:t>FR: GE_GERICHTE JTAPI/965/2021 du 20 septembre 2021</w:t>
      </w:r>
    </w:p>
    <w:p>
      <w:r>
        <w:t>IT: GE_GERICHTE JTAPI/965/2021 del 20 settembre 2021</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74 al. 1 let. a LEI,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rPr>
          <w:b/>
        </w:rPr>
        <w:t>E. 4.2</w:t>
      </w:r>
    </w:p>
    <w:p>
      <w:r>
        <w:t>; ATA/1371/2020 du 30 décembre 2020 consid. 5).</w:t>
      </w:r>
    </w:p>
    <w:p>
      <w:r>
        <w:rPr>
          <w:b/>
        </w:rPr>
        <w:t>E. 5</w:t>
      </w:r>
    </w:p>
    <w:p>
      <w:r>
        <w:t>L'art. 6 al. 3 LaLEtr prévoit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5.1</w:t>
      </w:r>
    </w:p>
    <w:p>
      <w:r>
        <w:t>;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w:t>
      </w:r>
    </w:p>
    <w:p>
      <w:r>
        <w:t>- 5/7 - A/3025/2021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l'art. 74 al. 1 let. a LEI (cf. arrêts du Tribunal fédéral 2C_570/2016 du 30 juin 2016 consid. 5.3 ; 2C_197/2013 du 31 juillet 2013 consid. 3 ; 2C_437/2009 du 27 octobre 2009 consid. 2.1 ; 2A.347/2003 du 24 novembre 2003 consid. 2.2 ; ATA/124/2015 du 30 janvier 2015 ; ATA/73/2014 du 10 février 2014).</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- 4/7 - A/3025/2021</w:t>
      </w:r>
    </w:p>
    <w:p>
      <w:r>
        <w:rPr>
          <w:b/>
        </w:rPr>
        <w:t>E. 7</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rPr>
          <w:b/>
        </w:rPr>
        <w:t>E. 8</w:t>
      </w:r>
    </w:p>
    <w:p>
      <w:r>
        <w:t>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Grégor CHATTON/Laurent MERZ, op.cit, n. 16 ad art. 74 p. 733 et les arrêts cités). 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w:t>
      </w:r>
    </w:p>
    <w:p>
      <w:r>
        <w:rPr>
          <w:b/>
        </w:rPr>
        <w:t>E. 9</w:t>
      </w:r>
    </w:p>
    <w:p>
      <w:r>
        <w:t>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rPr>
          <w:b/>
        </w:rPr>
        <w:t>E. 10</w:t>
      </w:r>
    </w:p>
    <w:p>
      <w:r>
        <w:t>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rPr>
          <w:b/>
        </w:rPr>
        <w:t>E. 11</w:t>
      </w:r>
    </w:p>
    <w:p>
      <w:r>
        <w:t>Concernant la fixation de la durée de la mesure, le fait que l'art. 74 al. 1 LEI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(ATA/1282/2017 précité consid.5).</w:t>
      </w:r>
    </w:p>
    <w:p>
      <w:r>
        <w:rPr>
          <w:b/>
        </w:rPr>
        <w:t>E. 12</w:t>
      </w:r>
    </w:p>
    <w:p>
      <w:r>
        <w:t>En l'espèce, M. A______ de nationalité roumaine, n'est pas au bénéfice d'une autorisation de courte durée (art. 32 LEI), de séjour (art. 33 LEI) ou d'établissement (art. 34 LEI), ce qui autorise l'application de l'art. 74 al. 1 LEI. Il a été condamné par le Ministère public du canton de Genève, le 3 septembre 2021, pour vol. Les conditions posées par l'art. 74 LEI sont donc remplies. Concernant le périmètre de l'interdiction, étendu à l'ensemble du canton de Genève, comme le tribunal de céans a déjà eu l'occasion de le retenir, il ne</w:t>
      </w:r>
    </w:p>
    <w:p>
      <w:r>
        <w:t>- 6/7 - A/3025/2021 constitue pas un usage excessif du pouvoir d'appréciation de l'autorité intimée. M. A______, qui n'a pas même pris la peine de venir à l'audience de ce jour afin d'exposer les raisons de son opposition, ne justifie au demeurant, au jour d'aujourd'hui, d'aucun motif rendant sa présence à Genève indispensable. Enfin, la durée de la mesure, de douze mois, est conforme à la jurisprudence, même s'il s'agit d'une première mesure (cf. not. arrêts du Tribunal fédéral 2C_123/2021 du 5 mars 2021 consid. 3.3 ; 2C_330/2015 du 26 novembre 2015 consid. 3.2 ; ATA/790/2018 du 27 juillet 2018 ; ATA/124/2015 du 30 janvier 2015 ; ATA/711/2014 du 4 septembre 2014 ; ATA/45/2014 du 27 janvier 2014 ; ATA/746/2013 du 7 novembre 2013), et est adaptée aux circonstances du cas d'espèce (cf. not. arrêt du Tribunal fédéral 2C_197/2013 du 31 juillet 2013 consid.</w:t>
      </w:r>
    </w:p>
    <w:p>
      <w:r>
        <w:rPr>
          <w:b/>
        </w:rPr>
        <w:t>E. 13</w:t>
      </w:r>
    </w:p>
    <w:p>
      <w:r>
        <w:t>Il résulte de ce qui précède que l'opposition de M. A______, qui ne repose sur aucun motif valable, doit être rejetée et l’interdiction de pénétrer dans une région déterminée confirmée pour une durée de douze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15</w:t>
      </w:r>
    </w:p>
    <w:p>
      <w:r>
        <w:t>Un éventuel recours déposé contre le présent jugement n'aura pas d'effet suspensif (art. 10 al. 1 LaLEtr).</w:t>
      </w:r>
    </w:p>
    <w:p>
      <w:r>
        <w:t>- 7/7 - A/3025/2021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