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JTAPI/963/2024 vom 26. September 2024</w:t>
      </w:r>
    </w:p>
    <w:p>
      <w:r>
        <w:t>GE Cour de justice, 2024-09-26, FR</w:t>
      </w:r>
    </w:p>
    <w:p>
      <w:r>
        <w:rPr>
          <w:b/>
        </w:rPr>
        <w:t xml:space="preserve">Quelle: </w:t>
      </w:r>
      <w:r>
        <w:t>https://mcp.opencaselaw.ch/entscheid/ge_gerichte_JTAPI_963_2024</w:t>
      </w:r>
    </w:p>
    <w:p>
      <w:r>
        <w:t>FR: GE_GERICHTE JTAPI/963/2024 du 26 septembre 2024</w:t>
      </w:r>
    </w:p>
    <w:p>
      <w:r>
        <w:t>IT: GE_GERICHTE JTAPI/963/2024 del 26 settembre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dans cette mesure, sous l’angle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3.1</w:t>
      </w:r>
    </w:p>
    <w:p>
      <w:r>
        <w:t>; arrêt du Tribunal fédéral 2C_360/2016 du 31 janvier 2017 consid. 5.1 ; arrêts du Tribunal administratif fédéral F-5141/2018 du 17 décembre 2019 consid. 9.1 ; F-2848/2017 du 19 juillet 2019 consid. 5).</w:t>
      </w:r>
    </w:p>
    <w:p>
      <w:r>
        <w:t>- 10/14 - A/690/2024 Le droit au respect de la vie privée et familiale garanti par l'art. 8 par. 1 CEDH n'est toutefois pas absolu. Une ingérence dans l'exercice de ce droit est possible aux conditions de l'art. 8 par. 2 CEDH. La mise en œuvre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w:t>
      </w:r>
    </w:p>
    <w:p>
      <w:r>
        <w:t>Selon la jurisprudence (arrêt du Tribunal fédéral 2C_343/2022 du 9 septembre 2022 consid. 4.1), si le droit interne ne connaît pas de regroupement familial inversé pour les parents étrangers d'un enfant jouissant d'un droit de présence assuré en Suisse, il est admis que le fait de refuser un droit de séjour à un étranger dont la famille se trouve en Suisse peut entraver sa vie familiale et porter une atteinte disproportionnée au droit au respect de la vie familiale garanti par l'art. 8 CEDH. Un droit effectif au regroupement familial ne peut découler de l'art. 8 CEDH qu'à condition que les exigences y relatives fixées par le droit interne soient respectées (ATF 137 I 284 consid. 1.3 et 2.6).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(arrêt du Tribunal fédéral 2C_677/2018 du 4 décembre 2018 consid. 6).</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4.1</w:t>
      </w:r>
    </w:p>
    <w:p>
      <w:r>
        <w:t>; arrêt du Tribunal administratif fédéral F-5141/2018 du 17 décembre 2019 consid. 9.1). La jurisprudence admet toutefois exceptionnellement qu'une simple autorisation annuelle de séjour confère un droit de présence durable, à condition que l'étranger qui en dispose puisse se prévaloir d'une intégration sociale et professionnelle particulièrement intense (ATF 130 II 281 consid. 3.2 ; arrêt du Tribunal fédéral 2C_360/2016 du 31 janvier 2017 consid. 5.1) ou de motifs d'ordre humanitaire (cf. ATF 137 I 351 consid.</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recourante demande au tribunal d’interpeller « formellement » le Conseil d’Etat au sujet de l'application à son cas de la motion du Grand Conseil du 19 février 1998.</w:t>
      </w:r>
    </w:p>
    <w:p>
      <w:r>
        <w:rPr>
          <w:b/>
        </w:rPr>
        <w:t>E. 7</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w:t>
      </w:r>
    </w:p>
    <w:p>
      <w:r>
        <w:t>- 7/14 - A/690/2024 établir résulte déjà des constatations ressortant du dossier (ATF 138 III 374 consid. 4.3.2 ; 131 I 153 consid. 3).</w:t>
      </w:r>
    </w:p>
    <w:p>
      <w:r>
        <w:rPr>
          <w:b/>
        </w:rPr>
        <w:t>E. 8</w:t>
      </w:r>
    </w:p>
    <w:p>
      <w:r>
        <w:t>En l’espèce, il n’y a pas lieu d’ordonner l’acte d’instruction requis par la recourante dès lors qu’une éventuelle détermination du Conseil d’Etat sur la portée de la motion précitée ne pourrait avoir aucun impact sur l’issue du présent litige, au vu des considérants qui suivent.</w:t>
      </w:r>
    </w:p>
    <w:p>
      <w:r>
        <w:rPr>
          <w:b/>
        </w:rPr>
        <w:t>E. 9</w:t>
      </w:r>
    </w:p>
    <w:p>
      <w:r>
        <w:t>La recourante se prévaut de son état de santé et de sa dépendance de sa fille pour solliciter une autorisation de séjour pour cas de rigueur au sens de l’art. 30 al. 1 let. b LEI. Ainsi, elle fait valoir un droit à un regroupement familial inversé, sa fille étant au bénéfice d’une autorisation de séjour.</w:t>
      </w:r>
    </w:p>
    <w:p>
      <w:r>
        <w:rPr>
          <w:b/>
        </w:rPr>
        <w:t>E. 10</w:t>
      </w:r>
    </w:p>
    <w:p>
      <w:r>
        <w:t>Selon cette disposition, il est possible de déroger aux conditions d'admission d'un étranger en Suisse pour tenir compte des cas individuels d'extrême gravité.</w:t>
      </w:r>
    </w:p>
    <w:p>
      <w:r>
        <w:rPr>
          <w:b/>
        </w:rPr>
        <w:t>E. 11</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arrêts du Tribunal administratif fédéral F-3986/2015 du 22 mai 2017 consid. 9.3 ; ATA/465/2017 du 25 avril 2017).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w:t>
      </w:r>
    </w:p>
    <w:p>
      <w:r>
        <w:rPr>
          <w:b/>
        </w:rPr>
        <w:t>E. 12</w:t>
      </w:r>
    </w:p>
    <w:p>
      <w:r>
        <w:t>Selon la jurisprudence,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w:t>
      </w:r>
    </w:p>
    <w:p>
      <w:r>
        <w:t>- 8/14 - A/690/2024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 ATA/1217/2020 du 1er décembre 2020 ; ATA/1162/ 2020 du 17 novembre 2020 consid. 6c ; ATA/801/2018 du 7 août 2018 consid. 8a et les références cités). En outre, l’étranger qui entre pour la première fois en Suisse en souffrant déjà d’une sérieuse atteinte à la santé ne saurait se fonder uniquement sur ce motif médical pour y poursuivre son séjour (cf. arrêts du Tribunal fédéral 2C_861/2015 du 11 février 2016 consid. 4.2 ; 2C_959/2011 du 22 février 2012 consid. 3.2 ; 2C_216/2009 du 20 août 2009 consid. 4.2 et les références).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w:t>
      </w:r>
    </w:p>
    <w:p>
      <w:r>
        <w:t>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arrêts du Tribunal administratif fédéral F-7044/2014 du 19 juillet 2016 consid. 5.5.1 ; C-5710/2011 du 13 décembre 2013 consid. 5.1 ; ATA/895/2019 du 14 mai 2019 consid. 6f). Hormis des cas d’extrême gravité, l’état de santé ne peut fonder un droit à une autorisation de séjour, ni sous l’aspect de l’art. 3 CEDH, ni sous celui de l’art. 8 CEDH (cf. arrêt du Tribunal fédéral 2C_891/2016 du 27 septembre 2016 consid. 3.3 et la référence citée).</w:t>
      </w:r>
    </w:p>
    <w:p>
      <w:r>
        <w:rPr>
          <w:b/>
        </w:rPr>
        <w:t>E. 13</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w:t>
      </w:r>
    </w:p>
    <w:p>
      <w:r>
        <w:t>- 9/14 - A/690/2024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(ATF 137 I 154 consid. 3.4.2 ; 129 II 11 consid. 2 ; arrêts 2C_584/2017 du 29 juin 2017 consid. 3 ; fédéral 2C_1083/2016 du 24 avril 2017 consid. 1.1 ; 2C_369/2015 du 22 novembre 2015 consid. 1.1 ; 2C_253/2010 du 18 juillet 2011 consid. 1.5). L'art. 8 CEDH ne confère en principe pas un droit à séjourner dans un État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 Une simple autorisation de séjour, qui revêt un caractère révocable, ne suffit en général pas pour fonder un droit de présence assuré dans le pays (cf. ATF 126 II 335 consid. 2a ; arrêt du Tribunal fédéral 2C_435/2014 du 13 février 2015 consid.</w:t>
      </w:r>
    </w:p>
    <w:p>
      <w:r>
        <w:rPr>
          <w:b/>
        </w:rPr>
        <w:t>E. 14</w:t>
      </w:r>
    </w:p>
    <w:p>
      <w:r>
        <w:t>En l’espèce, les conditions strictes de l’art. 31 al. 1 OASA requises pour la reconnaissance d'un cas de rigueur ne sont manifestement pas remplies, ne serait- ce parce que Mme A______ n’a jamais séjourné en Suisse, hormis une visite de courte durée qu’elle a rendue à sa fille entre décembre 2019 et novembre 2021. En outre, il n’est pas allégué, ni a fortiori démontré, que les maladies dont elle souffre ne peuvent pas être traitées en Inde. Elle ne saurait donc se fonder sur ce motif médical pour obtenir une autorisation de séjour. Le fait qu’elle entretienne une relation étroite et affective avec sa fille et qu’il existe un rapport de dépendance entre elles n’est pas remis en cause. Ce fait est toutefois insuffisant pour l’octroi de l’autorisation sollicitée dès lors que sa fille ne bénéficie pas d’un droit de résider durablement en Suisse. Elle n’est en effet titulaire que d’une autorisation de séjour annuelle (permis B), valable jusqu'au 10 août 2025, et rien n’indique qu’elle obtiendra prochainement une autorisation d’établissement ou la nationalité suisse. Par ailleurs, si, selon les explications de Mme B______ et l’attestation médicale qu’elle a produite, Mme A______ semble avoir effectivement besoin d’une aide au</w:t>
      </w:r>
    </w:p>
    <w:p>
      <w:r>
        <w:t>- 11/14 - A/690/2024 quotidien, il n’est toutefois pas démontré que cette aide ne pourrait pas être assurée en Inde. L’on ne voit pas, et Mme B______ ne l’explique pas, pour quels motifs elle ne pourrait pas engager un/e auxiliaire de vie permanent/e en Inde. Cette attestation médicale se limite en effet à indiquer que sa mère a besoin d’un soutien « mental constant » et qu’il n’est pas « souhaitable » qu’elle vive seule, ce qui signifie que cette aide peut être apportée également par d’autres personnes en Inde. A cela s’ajoute que la recourante a la possibilité de garder des contacts réguliers avec sa fille, par le biais des moyens de communication modernes et l’instauration de visites en Inde, respectivement en Suisse. Le tribunal entend parfaitement ses conditions de vie difficiles en Inde et son souhait de vivre auprès de sa fille et de son petit-fils en Suisse, mais ne saurait pour autant accéder à sa demande, compte tenu des conditions d’admission strictes que lui impose la LEI.</w:t>
      </w:r>
    </w:p>
    <w:p>
      <w:r>
        <w:rPr>
          <w:b/>
        </w:rPr>
        <w:t>E. 15</w:t>
      </w:r>
    </w:p>
    <w:p>
      <w:r>
        <w:t>Au vu de ce qui précède, force est d’admettre qu’en refusant l’octroi d’une autorisation fondée sur les art. 30 LEI et 8 CEDH, l’autorité intimée n’a pas abusé de son pouvoir d’appréciation.</w:t>
      </w:r>
    </w:p>
    <w:p>
      <w:r>
        <w:rPr>
          <w:b/>
        </w:rPr>
        <w:t>E. 16</w:t>
      </w:r>
    </w:p>
    <w:p>
      <w:r>
        <w:t>La recourante fait encore valoir une application, par analogie, des dispositions de la LEH à son cas.</w:t>
      </w:r>
    </w:p>
    <w:p>
      <w:r>
        <w:rPr>
          <w:b/>
        </w:rPr>
        <w:t>E. 17</w:t>
      </w:r>
    </w:p>
    <w:p>
      <w:r>
        <w:t>Selon l’art. 2 al. 1 let. f LEH, la Confédération peut accorder des immunités et privilèges à diverses institutions qu'elle accueille sur son territoire, dont les missions permanentes auprès des organisations intergouvernementales. Ces immunités et privilèges peuvent également être accordés aux personnes physiques appelées en qualité officielle auprès de ces institutions, ainsi qu'aux personnes autorisées à les accompagner, y compris les domestiques privés (art. 2 al. 2 let. a et c LEH).</w:t>
      </w:r>
    </w:p>
    <w:p>
      <w:r>
        <w:rPr>
          <w:b/>
        </w:rPr>
        <w:t>E. 18</w:t>
      </w:r>
    </w:p>
    <w:p>
      <w:r>
        <w:t>Le DFAE détermine dans chaque cas si la personne qui souhaite accompagner le titulaire principal remplit les conditions requises au sens du présent article. Toute question pouvant se poser à ce sujet se règle entre le DFAE et le bénéficiaire institutionnel concerné, conformément aux usages diplomatiques, à l’exclusion de toute intervention de la personne bénéficiaire (art. 20 al. 5 OLEH).</w:t>
      </w:r>
    </w:p>
    <w:p>
      <w:r>
        <w:rPr>
          <w:b/>
        </w:rPr>
        <w:t>E. 19</w:t>
      </w:r>
    </w:p>
    <w:p>
      <w:r>
        <w:t>Conformément à l'art. 98 al. 2 LEI (en relation avec l'art. 4 al. 5 LEH), le Conseil fédéral est autorisé à régler l'entrée en Suisse, la sortie de Suisse, l'admission et le séjour des personnes bénéficiaires de privilèges, d'immunités et de facilités visées à l'art. 2 al. 2 LEH. Le titulaire de la carte de légitimation qui perd le droit à ce document doit quitter la Suisse dans le délai imparti (délai de courtoisie) par le DFAE ou solliciter le règlement de ses conditions de séjour selon les dispositions générales du droit des étrangers (Directives et commentaires du SEM, ch. 7.2.4). Il convient de rappeler aussi que, selon la jurisprudence, ne sont pas considérés comme durables les séjours fondés sur les cartes de légitimation délivrées en application de la LEH et de son ordonnance du 7 décembre 2007 (OLEH - RS</w:t>
      </w:r>
    </w:p>
    <w:p>
      <w:r>
        <w:t>- 12/14 - A/690/2024 192.121) (cf. arrêts du Tribunal fédéral 2C_459/2019 du 17 mai 2019 consid. 3.1 ; 2C_1023/2016 du 11 avril 2017 consid. 6.4). La durée du séjour de l’étranger au bénéfice d'une carte de légitimation ne peut pas compter pour la délivrance d'un permis en application de l'art. 30 LEI (ATA/968/2021 du 21 septembre 2021 consid. 7). Les conditions d'admission fixées par la LEI ne sont pas applicables aux étrangers titulaires d'une carte de légitimation du DFAE, tant qu'ils exercent leur fonction (cf. art. 43 al. 1 OASA). La carte de légitimation sert de titre de séjour en Suisse (art. 17 OLEH). Les séjours passés en Suisse par des étrangers au bénéfice d'une carte de légitimation délivrée par le DFAE sont de nature temporaire et ne sont pas déterminants pour la reconnaissance d'un cas de rigueur. Ceux-ci ne peuvent en principe pas obtenir un titre de séjour fondé sur un cas de rigueur lorsque la mission pour laquelle un titre de séjour leur a été délivré prend fin, sous réserve de circonstances tout à fait exceptionnelles (cf. ATA/1154/2020 du 17 novembre 2020 consid. 6c et les arrêts cités).</w:t>
      </w:r>
    </w:p>
    <w:p>
      <w:r>
        <w:rPr>
          <w:b/>
        </w:rPr>
        <w:t>E. 20</w:t>
      </w:r>
    </w:p>
    <w:p>
      <w:r>
        <w:t>Les membres des représentations diplomatiques et des organisations internationales relèvent du droit international diplomatique et consulaire ainsi que des accords de siège conclu entre le Conseil fédéral et les différentes organisations internationales qui règlementent la matière (art. 98 al. 2 LEI et 43 OASA) ; ils ne sont donc pas soumis au droit ordinaire des étrangers. Il a été souligné que leur présence relève du domaine de la politique extérieure de la Suisse (cf. arrêt de la Cour d'appel de la Juridiction des prud'hommes CAPH/52/2002 du jeudi 11 avril 2002 consid. 7 ; Albrecht DIEFFENBACHER, in Martina CARONI in Martina CARONI/Thomas GÄCHTER/Daniela THURNHERR [éd.], Bundesgesetz über die Ausländerinnen und Ausländer [AuG], 2010, ad art. 98 LEtr p. 904 n. 11). Ils se voient remettre une carte de légitimation établie par le DFAE (art. 43 al. 1 let. a et d OASA) qui vaut à la fois titre de séjour et autorisation de travail dans un domaine délimité (art. 17 OLEH ; cf. arrêt du Tribunal fédéral 4A_319/ 2008 du 16 décembre 2008 consid. 3.2.2).</w:t>
      </w:r>
    </w:p>
    <w:p>
      <w:r>
        <w:rPr>
          <w:b/>
        </w:rPr>
        <w:t>E. 21</w:t>
      </w:r>
    </w:p>
    <w:p>
      <w:r>
        <w:t>En l’espèce, même si Mme B______ était au bénéfice d’une carte de légitimation délivrée par le DFAE, la recourante ne pourrait pas s’en prévaloir pour obtenir une autorisation de séjour prévue par la LEI, puisqu’une telle carte ne confère pas un droit de séjour durable. De plus, dans cette hypothèse, le regroupement familial requis relèverait de la compétence du DFAE (art. 20 al. 5 OLEH), et non de celle du tribunal. Dès lors, il ne saurait être question d’une application « par analogie » de la LEH au cas d’espèce, d’autant moins que l’art. 43 al. 1 OASA précise expressément que les conditions d'admission fixées par la LEI ne s’appliquent pas aux titulaires d'une carte de légitimation du DFAE, tant qu'ils exercent leur fonction.</w:t>
      </w:r>
    </w:p>
    <w:p>
      <w:r>
        <w:rPr>
          <w:b/>
        </w:rPr>
        <w:t>E. 22</w:t>
      </w:r>
    </w:p>
    <w:p>
      <w:r>
        <w:t>Au vu de ce qui précède, l'OCPM n’a pas mésusé de son pouvoir d’appréciation en refusant de mettre la recourante au bénéfice d’une autorisation d’entrée et de séjour en Suisse.</w:t>
      </w:r>
    </w:p>
    <w:p>
      <w:r>
        <w:t>- 13/14 - A/690/2024</w:t>
      </w:r>
    </w:p>
    <w:p>
      <w:r>
        <w:rPr>
          <w:b/>
        </w:rPr>
        <w:t>E. 23</w:t>
      </w:r>
    </w:p>
    <w:p>
      <w:r>
        <w:t>Parant, le recours sera rejeté.</w:t>
      </w:r>
    </w:p>
    <w:p>
      <w:r>
        <w:rPr>
          <w:b/>
        </w:rPr>
        <w:t>E. 24</w:t>
      </w:r>
    </w:p>
    <w:p>
      <w:r>
        <w:t>Vu l'issue du litige, un émolument de CHF 500.- sera mis à la charge de la recourante (art. 87 al. 1 LPA) et aucune indemnité de procédure ne lui sera allouée (art. 87 al. 2 LPA).</w:t>
      </w:r>
    </w:p>
    <w:p>
      <w:r>
        <w:rPr>
          <w:b/>
        </w:rPr>
        <w:t>E. 25</w:t>
      </w:r>
    </w:p>
    <w:p>
      <w:r>
        <w:t>En vertu des art. 89 al. 2 et 111 al. 2 de la loi sur le Tribunal fédéral du 17 juin 2005 (LTF - RS 173.110), le présent jugement sera communiqué au secrétariat d'État aux migrations.</w:t>
      </w:r>
    </w:p>
    <w:p>
      <w:r>
        <w:t>- 14/14 - A/690/2024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