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JTAPI/959/2024 vom 26. September 2024</w:t>
      </w:r>
    </w:p>
    <w:p>
      <w:r>
        <w:t>GE Cour de justice, 2024-09-26, FR</w:t>
      </w:r>
    </w:p>
    <w:p>
      <w:r>
        <w:rPr>
          <w:b/>
        </w:rPr>
        <w:t xml:space="preserve">Quelle: </w:t>
      </w:r>
      <w:r>
        <w:t>https://mcp.opencaselaw.ch/entscheid/ge_gerichte_JTAPI_959_2024</w:t>
      </w:r>
    </w:p>
    <w:p>
      <w:r>
        <w:t>FR: GE_GERICHTE JTAPI/959/2024 du 26 septembre 2024</w:t>
      </w:r>
    </w:p>
    <w:p>
      <w:r>
        <w:t>IT: GE_GERICHTE JTAPI/959/2024 del 26 settembre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w:t>
      </w:r>
    </w:p>
    <w:p>
      <w:r>
        <w:rPr>
          <w:b/>
        </w:rPr>
        <w:t>E. 2</w:t>
      </w:r>
    </w:p>
    <w:p>
      <w:r>
        <w:t>En l'espèce, le tribunal a été valablement saisi et respecte le délai précité en statuant ce jour, la détention administrative ayant débuté le 24 septembre 2024 à 14h00.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3.3</w:t>
      </w:r>
    </w:p>
    <w:p>
      <w:r>
        <w:t>; 2C_806/2010 du 21 octobre 2010 consid. 2.1 ; 2C_400/2009 du 16 juillet 2009 consid. 3.1).</w:t>
      </w:r>
    </w:p>
    <w:p>
      <w:r>
        <w:rPr>
          <w:b/>
        </w:rPr>
        <w:t>E. 4</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w:t>
      </w:r>
    </w:p>
    <w:p>
      <w:r>
        <w:t>- 5/8 - A/3133/2024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w:t>
      </w:r>
    </w:p>
    <w:p>
      <w:r>
        <w:t>- 6/8 - A/3133/2024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9</w:t>
      </w:r>
    </w:p>
    <w:p>
      <w:r>
        <w:t>En l’espèce, l’intéressé fait l’objet d’une mesure d’expulsion de Suisse pour une durée de sept ans prononcée par le Tribunal de police le 18 septembre 2024. Il a par ailleurs été condamné pour infraction à l’art. 140 CP, soit brigandage, infraction constitutive de crime. L’assurance de son départ de Suisse répond à un intérêt public certain et toute autre mesure moins incisive que la détention administrative serait vaine pour assurer sa présence au moment où il devra prendre place à bord du vol sur lequel une place lui aura été réservée, étant relevé qu’il n’a ni attaches ni logement connu à Genève, travaillant dans un restaurant en toute illégalité. Le fait d’avoir collaboré avec les autorités pour la production de son passeport et son permis de séjour, ce qui lui permettait de ne pas être renvoyé dans un pays dans lequel il ne voulait pas aller, ne démontre pas encore une ferme volonté de quitter la Suisse, étant venu dans ce pays pour gagner de l’argent. Les conditions légales de la détention fondée sur l’art. 76 al. 1 let. b ch. 1 renvoyant à l’art. 75 al. 1 let. h LEI sont donc remplies sans qu’il soit nécessaire d’analyser si la détention pourrait être fondée sur une autre disposition de la LEI.</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11</w:t>
      </w:r>
    </w:p>
    <w:p>
      <w:r>
        <w:t>En l’espèce, les autorités ont entamé les démarches en vue du renvoi de l’intéressé immédiatement après le prononcé de son expulsion par le Tribunal de police, dans un premier temps selon la procédure Dublin, puis, ayant reçu ses documents d’identité, sur la base de l’Accord de réadmission conclu entre la Suisse et l’Espagne.</w:t>
      </w:r>
    </w:p>
    <w:p>
      <w:r>
        <w:t>- 7/8 - A/3133/2024 Elles sont maintenant dans l’attente de la réponse des autorités espagnoles, laquelle devrait intervenir en début de semaine prochaine. Cette réponse permettra ensuite aux autorités de réserver une place sur un vol à destination de l’aéroport en Espagne désigné par les autorités de ce pays.</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une durée d’un mois est conforme à l’art. 79 LEI et respecte le principe de proportionnalité - en prenant en compte les 6 jours de détention effectués suite au prononcé du premier ordre de mise en détention le 18 septembre 2024 -, une place sur un vol pouvant être obtenue rapidement une fois l’accord des autorités espagnoles obtenu, lequel devrait intervenir d’ici le début de la semaine prochaine.</w:t>
      </w:r>
    </w:p>
    <w:p>
      <w:r>
        <w:rPr>
          <w:b/>
        </w:rPr>
        <w:t>E. 15</w:t>
      </w:r>
    </w:p>
    <w:p>
      <w:r>
        <w:t>Au vu de ce qui précède, il y a lieu de confirmer l'ordre de mise en détention administrative de M. A______ pour une durée d'un mois.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