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JTAPI/94/2024 vom 17. Mai 2011</w:t>
      </w:r>
    </w:p>
    <w:p>
      <w:r>
        <w:t>GE Cour de justice, 2011-05-17, FR</w:t>
      </w:r>
    </w:p>
    <w:p>
      <w:r>
        <w:rPr>
          <w:b/>
        </w:rPr>
        <w:t xml:space="preserve">Quelle: </w:t>
      </w:r>
      <w:r>
        <w:t>https://mcp.opencaselaw.ch/entscheid/ge_gerichte_JTAPI_94_2024</w:t>
      </w:r>
    </w:p>
    <w:p>
      <w:r>
        <w:t>FR: GE_GERICHTE JTAPI/94/2024 du 17 mai 2011</w:t>
      </w:r>
    </w:p>
    <w:p>
      <w:r>
        <w:t>IT: GE_GERICHTE JTAPI/94/2024 del 17 maggio 2011</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1er février 2024, à 16h00.</w:t>
      </w:r>
    </w:p>
    <w:p>
      <w:r>
        <w:rPr>
          <w:b/>
        </w:rPr>
        <w:t>E. 2.2</w:t>
      </w:r>
    </w:p>
    <w:p>
      <w:r>
        <w:t>et les références citées).</w:t>
      </w:r>
    </w:p>
    <w:p>
      <w:r>
        <w:rPr>
          <w:b/>
        </w:rPr>
        <w:t>E. 3</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t>- 4/7 - A/362/2024</w:t>
      </w:r>
    </w:p>
    <w:p>
      <w:r>
        <w:rPr>
          <w:b/>
        </w:rPr>
        <w:t>E. 3.1</w:t>
      </w:r>
    </w:p>
    <w:p>
      <w:r>
        <w:t>; arrêt du Tribunal fédéral 2C_1139/2012 du 21 décembre 2012 consid. 3.2 ; ATA/315/2014 du 2 mai 2014).</w:t>
      </w:r>
    </w:p>
    <w:p>
      <w:r>
        <w:rPr>
          <w:b/>
        </w:rPr>
        <w:t>E. 4</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5</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6</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7</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8</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w:t>
      </w:r>
    </w:p>
    <w:p>
      <w:r>
        <w:t>- 5/7 - A/362/2024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w:t>
      </w:r>
    </w:p>
    <w:p>
      <w:r>
        <w:rPr>
          <w:b/>
        </w:rPr>
        <w:t>E. 9</w:t>
      </w:r>
    </w:p>
    <w:p>
      <w:r>
        <w:t>En l'occurrence, M. A______ fait l’objet d'une interdiction d'entrée en Suisse et de plusieurs décisions de renvoi. En revenant en Suisse, à tout le moins en janvier 2024, il a violé les interdictions qui lui ont été faites de revenir dans ce pays, alors qu’il avait été refoulé en Espagne le 30 mai 2022. Par ailleurs, le comportement de l’intéressé, qui n’a ni domicile ni source de revenu légale en Suisse, dénote un mépris total de l’ordre juridique suisse et des décisions prises à son encontre. Il existe donc de nombreux éléments faisant craindre qu'il se soustraie à son refoulement de Suisse et disparaisse dans la clandestinité s’il était remis en liberté. Les conditions d’une détention sont dès lors fondées sur la base de l’art. 76 al. 1 let. b ch. 1, 3 et 4 LEI.</w:t>
      </w:r>
    </w:p>
    <w:p>
      <w:r>
        <w:rPr>
          <w:b/>
        </w:rPr>
        <w:t>E. 10</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compte tenu du fait que M. A______ n’a pas respecté, à plusieurs reprises, l'interdiction d'entrée en Suisse ainsi que les décisions de renvoi prononcées à son encontre, on ne voit pas pour quelles raisons, s’il était remis en liberté, il les respecterait davantage, et ce même s'il n'est pas opposé à son renvoi en Espagne. Partant, sa détention administrative paraît être le seul moyen d’assurer sa nouvelle expulsion. Les autorités suisses ont par ailleurs agi avec toute la diligence possible dès lors qu'elles ont immédiatement procédé aux démarches utiles en déposant une demande de réadmission auprès de autorités espagnoles, ouvrant la possibilité d'une réservation d'un vol en faveur de l'intéressé, à destination de l'Espagne.</w:t>
      </w:r>
    </w:p>
    <w:p>
      <w:r>
        <w:rPr>
          <w:b/>
        </w:rPr>
        <w:t>E. 13</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w:t>
      </w:r>
    </w:p>
    <w:p>
      <w:r>
        <w:t>- 6/7 - A/362/2024 l’obtention des documents nécessaires au départ auprès d’un État qui ne fait pas partie des États Schengen prend du retard (art. 79 al. 2 let. b LEI).</w:t>
      </w:r>
    </w:p>
    <w:p>
      <w:r>
        <w:rPr>
          <w:b/>
        </w:rPr>
        <w:t>E. 14</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15</w:t>
      </w:r>
    </w:p>
    <w:p>
      <w:r>
        <w:t>En l’espèce, la durée de la détention décidée respecte le cadre légal fixé par l'art. 79 al. 1 LEI et n’apparait pas d'emblée disproportionnée. Celle-ci est toutefois relative puisqu’elle prendra fin automatiquement lorsque M. A______ prendra le vol sur lequel une place lui a été réservée. Par contre, si le renvoi ne pouvait être exécuté à destination de l'Espagne, la durée de la détention permettra aux autorités d’entreprendre les démarches nécessaires en vue d'un renvoi en Gambie, cas échéant, solliciter la prolongation de la détention.</w:t>
      </w:r>
    </w:p>
    <w:p>
      <w:r>
        <w:rPr>
          <w:b/>
        </w:rPr>
        <w:t>E. 16</w:t>
      </w:r>
    </w:p>
    <w:p>
      <w:r>
        <w:t>Au vu de ce qui précède, il y a lieu de confirmer l'ordre de mise en détention administrative de M. A______ pour une durée de deux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A/362/2024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