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JTAPI/94/2023 vom 25. Januar 2023</w:t>
      </w:r>
    </w:p>
    <w:p>
      <w:r>
        <w:t>GE Cour de justice, 2023-01-25, FR</w:t>
      </w:r>
    </w:p>
    <w:p>
      <w:r>
        <w:rPr>
          <w:b/>
        </w:rPr>
        <w:t xml:space="preserve">Quelle: </w:t>
      </w:r>
      <w:r>
        <w:t>https://mcp.opencaselaw.ch/entscheid/ge_gerichte_JTAPI_94_2023</w:t>
      </w:r>
    </w:p>
    <w:p>
      <w:r>
        <w:t>FR: GE_GERICHTE JTAPI/94/2023 du 25 janvier 2023</w:t>
      </w:r>
    </w:p>
    <w:p>
      <w:r>
        <w:t>IT: GE_GERICHTE JTAPI/94/2023 del 25 gennaio 2023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Le recours, bien fondé, doit donc être admis et l'autorisation de construire annulée sans qu'il soit nécessaire d'examiner les autres arguments de la recourante.</w:t>
      </w:r>
    </w:p>
    <w:p>
      <w:r>
        <w:rPr>
          <w:b/>
        </w:rPr>
        <w:t>E. 24</w:t>
      </w:r>
    </w:p>
    <w:p>
      <w:r>
        <w:t>Vu cette issue, l'avance de frais versée par la recourante lui sera restituée. Un émolument de CHF 900.- sera mis à la charge conjointe et solidaire de Mme et M. B______. Ayant eu recours au service d'un avocat pour les besoins de la procédure et conclu à l'allocation de dépens, la recourante, qui obtient gain de cause, se verra allouer une indemnité de procédure arrêtée à CHF 1'800.-, valant participation aux honoraires dudit avocat, pour moitié à la charge du département et pour moitié à celle de Mme et M. B______.</w:t>
      </w:r>
    </w:p>
    <w:p>
      <w:r>
        <w:t>- 12/12 - A/1085/2022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