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JTAPI/948/2021 vom 17. September 2021</w:t>
      </w:r>
    </w:p>
    <w:p>
      <w:r>
        <w:t>GE Cour de justice, 2021-09-17, FR</w:t>
      </w:r>
    </w:p>
    <w:p>
      <w:r>
        <w:rPr>
          <w:b/>
        </w:rPr>
        <w:t xml:space="preserve">Quelle: </w:t>
      </w:r>
      <w:r>
        <w:t>https://mcp.opencaselaw.ch/entscheid/ge_gerichte_JTAPI_948_2021</w:t>
      </w:r>
    </w:p>
    <w:p>
      <w:r>
        <w:t>FR: GE_GERICHTE JTAPI/948/2021 du 17 septembre 2021</w:t>
      </w:r>
    </w:p>
    <w:p>
      <w:r>
        <w:t>IT: GE_GERICHTE JTAPI/948/2021 del 17 settembre 2021</w:t>
      </w:r>
    </w:p>
    <w:p>
      <w:pPr>
        <w:pStyle w:val="Heading2"/>
      </w:pPr>
      <w:r>
        <w:t>Erwägungen</w:t>
      </w:r>
    </w:p>
    <w:p>
      <w:r>
        <w:rPr>
          <w:b/>
        </w:rPr>
        <w:t>E. 1</w:t>
      </w:r>
    </w:p>
    <w:p>
      <w:r>
        <w:t>Le tribunal est compétent pour statuer en première instance sur les recours portant, comme en l’espèce, sur les décisions prises par l'OCV en application de la LCR (art. 115 et 116 de la loi sur l’organisation judiciaire du 26 septembre 2010 - LOJ - E 2 05 ; art. 17 de la loi d'application de la législation fédérale sur la circulation routière du 18 décembre 1987 - LaLCR - H 1 05).</w:t>
      </w:r>
    </w:p>
    <w:p>
      <w:r>
        <w:t>- 4/8 - A/834/2021</w:t>
      </w:r>
    </w:p>
    <w:p>
      <w:r>
        <w:rPr>
          <w:b/>
        </w:rPr>
        <w:t>E. 2</w:t>
      </w:r>
    </w:p>
    <w:p>
      <w:r>
        <w:t>Interjeté en temps utile et dans les formes prescrites devant la juridiction compétente par le destinataire de la décision querellée, le recours est recevable (art. 57, 60 et 62 à 65 de la loi sur la procédure administrative du 12 septembre 1985 - LPA - E 5 10).</w:t>
      </w:r>
    </w:p>
    <w:p>
      <w:r>
        <w:rPr>
          <w:b/>
        </w:rPr>
        <w:t>E. 3</w:t>
      </w:r>
    </w:p>
    <w:p>
      <w:r>
        <w:t>L'exécution d’un transport sur place est sollicitée par le recourant. Or, il n'existe pas un droit à l'accomplissement d'un tel acte d'instruction (cf. ATF 120 Ib 224 consid. 2b ; 112 Ia 198 consid. 2b ; arrêts du Tribunal fédéral 1C_243/2013 du 27 septembre 2013 consid. 3.2.1 ; 1C 61/2011 du 4 mai 2011 consid. 3.1 ; 1C_327/2009 du 5 novembre 2009 consid. 3.1 ; ATA/720/2012 du 30 octobre 2012) et celui-ci n'apparaît pas nécessaire, le dossier contenant les éléments utiles permettant au tribunal de statuer en connaissance de cause sur le litige, ce dernier pouvant se faire une idée précise du lieu de commission de l'infraction en cause avec des outils disponibles en ligne (SITG en particulier ; cf. à cet égard not. ATF 145 I 167 consid. 4.1 ; 140 I 285 consid. 6.3.1 et les arrêts cités ; arrêts du Tribunal fédéral 1C_576/2021 du 1er avril 2021 consid. 3.1 ; 2C_946/2020 du 18 février 2021 consid. 3.1 ; 1C_355/2019 du 29 janvier 2020 consid. 3.1)</w:t>
      </w:r>
    </w:p>
    <w:p>
      <w:r>
        <w:rPr>
          <w:b/>
        </w:rPr>
        <w:t>E. 4</w:t>
      </w:r>
    </w:p>
    <w:p>
      <w:r>
        <w:t>Lorsque la procédure prévue par la loi fédérale sur les amendes d'ordre du 24 juin 1970 (LAO - RS 741.03) n'est pas applicable, une infraction aux prescriptions sur la circulation routière entraîne le retrait du permis d'élève-conducteur ou du permis de conduire ou un avertissement (art. 16 al. 2 LCR).</w:t>
      </w:r>
    </w:p>
    <w:p>
      <w:r>
        <w:rPr>
          <w:b/>
        </w:rPr>
        <w:t>E. 5</w:t>
      </w:r>
    </w:p>
    <w:p>
      <w:r>
        <w:t>Pour déterminer la durée et s'il y a lieu de prononcer un retrait d'admonestation, la LCR distingue les infractions légères, moyennement graves et graves (art. 16a à 16c LCR).</w:t>
      </w:r>
    </w:p>
    <w:p>
      <w:r>
        <w:rPr>
          <w:b/>
        </w:rPr>
        <w:t>E. 6</w:t>
      </w:r>
    </w:p>
    <w:p>
      <w:r>
        <w:t>Commet en particulier une infraction grave, selon l'art. 16c al. 1 let. a LCR, la personne qui, en violant gravement les règles de la circulation, met sérieusement en danger la sécurité d'autrui ou en prend le risque. La qualification du cas grave au sens de cette disposition correspond à celle de l’art. 90 al. 2 LCR (cf. ATF 132 II 234 consid. 3 ; 123 II 37 consid. 1b ; arrêts du Tribunal fédéral 6B.264/2007 du 19 septembre 2007 consid. 3.1 ; 6A.80/2004 du 31 janvier 2005 consid. 3.1 ; ATA/392/2010 du 8 juin 2010 consid. 6 ; ATA/456/2009 du 15 septembre 2009 consid. 8c).</w:t>
      </w:r>
    </w:p>
    <w:p>
      <w:r>
        <w:rPr>
          <w:b/>
        </w:rPr>
        <w:t>E. 7</w:t>
      </w:r>
    </w:p>
    <w:p>
      <w:r>
        <w:t>Selon la jurisprudence, la signalisation routière est valable et obligatoire pour les usagers lorsqu'elle a été mise en place sur la base d'une décision et d'une publication conforme de l'autorité compétente (ATF 126 II 196 consid. 2b ; 126 IV 48 consid. 2a et les arrêts cités ; ATA/1218/2020 du 1er décembre 2020 consid. 5c). Lorsque la validité formelle de la signalisation n'est pas contestée, les usagers de la route ne sont légitimés à mettre en doute ni son opportunité, ni même sa légalité matérielle (ATF 126 II 196 consid. 2b ; ATA/1218/2020 du 1er décembre 2020 consid. 5c), sans quoi la sécurité et la fluidité du trafic pourraient s'en trouver gravement compromises (ATF 100 IV 71 consid. 2 ; ATA/1218/2020 du 1er décembre 2020 consid. 5c) ; chacun doit en effet pouvoir</w:t>
      </w:r>
    </w:p>
    <w:p>
      <w:r>
        <w:t>- 5/8 - A/834/2021 compter sur le respect, par autrui, de la signalisation en place, en particulier en ce qui concerne les limitations de vitesse. Il n'est fait exception à ce principe que de manière très restrictive, lorsque la signalisation n'est pas suffisamment visible (arrêt du Tribunal fédéral 6A.11/2000 du 7 septembre 2000 ; ATA/1218/2020 du 1er décembre 2020 consid. 5c) ou lorsqu'elle prête en soi à confusion au point qu'un usager attentif et de bonne foi ne saurait plus quel comportement adopter (ATF 126 IV 48 consid. 2b ; ATA/1218/2020 du 1er décembre 2020 consid. 5c).</w:t>
      </w:r>
    </w:p>
    <w:p>
      <w:r>
        <w:rPr>
          <w:b/>
        </w:rPr>
        <w:t>E. 8</w:t>
      </w:r>
    </w:p>
    <w:p>
      <w:r>
        <w:t>De jurisprudence constante, les limitations de vitesse, telles qu’elles résultent de la loi ou de la signalisation routière, valent comme limites au-delà desquelles la sécurité de la route est compromise. Elles indiquent aux conducteurs les seuils à partir desquels le danger est assurément présent. Leur respect est donc essentiel à la sécurité du trafic. En la matière, la jurisprudence a été amenée à fixer des règles précises afin d'assurer l'égalité de traitement entre conducteurs. Ainsi, selon la jurisprudence constante, le cas est objectivement grave, c'est-à-dire sans égard aux circonstances concrètes ou encore à la bonne réputation du conducteur, en présence, notamment, d'un dépassement de la vitesse autorisée de 25 km/h ou plus à l'intérieur des localités (ATF 132 II 234 consid. 3.1 s. et les arrêts cités ; arrêt du Tribunal fédéral 1C_580/2017 du 1er octobre 2018 consid. 2.1). Cette jurisprudence ne dispense toutefois pas l'autorité de tout examen des circonstances du cas concret. D'une part, l'importance de la mise en danger et celle de la faute doivent être appréciées, afin de déterminer quelle doit être la durée du retrait, la durée minimale du retrait ne pouvant toutefois pas être réduite (art. 16 al. 3 LCR). D’autre part, il y a lieu de rechercher si des circonstances particulières ne justifient pas de considérer néanmoins le cas comme plus grave ou, inversement, comme de moindre gravité, cette dernière hypothèse pouvant notamment être réalisée lorsque le conducteur avait des motifs sérieux de penser qu'il ne se trouvait plus dans la zone de limitation de vitesse. Dans cette mesure, une appréciation purement schématique du cas, fondée exclusivement sur le dépassement de vitesse constaté, violerait le droit fédéral (ATF 126 II 196 consid. 2a ; 124 II 97 consid. 2c ; arrêts du Tribunal fédéral 1C_580/2017 du 1er octobre 2018 consid. 2.1 ; 1C_125/2016 du 26 octobre 2016 consid. 3.1). L'autorité pourra également renoncer au retrait du permis de conduire en présence de circonstances analogues à celles qui justifient de renoncer à une peine en application de l'art. 54 du Code pénal suisse du 21 décembre 1937 (CP - RS 311.0) (atteinte subie par l'auteur de son acte) ou encore des art. 17 ss CP (arrêts du Tribunal fédéral 1C_125/2016 du 26 octobre 2016 consid. 3.1 ; 1C_83/2008 du 16 octobre 2008 consid. 2.1 et les références citées).</w:t>
      </w:r>
    </w:p>
    <w:p>
      <w:r>
        <w:rPr>
          <w:b/>
        </w:rPr>
        <w:t>E. 9</w:t>
      </w:r>
    </w:p>
    <w:p>
      <w:r>
        <w:t>A teneur de l'art. 1 al. 4 de l'ordonnance sur la signalisation routière du 5 septembre 1979 (OSR - RS 741.21), l’expression « à l’intérieur des localités » ou « dans les localités » désigne une zone qui commence au signal « début de localité sur route principale » (4.27) ou « début de localité sur route secondaire » (4.29) et se termine au signal « fin de localité sur route principale » (4.28) ou « fin</w:t>
      </w:r>
    </w:p>
    <w:p>
      <w:r>
        <w:t>- 6/8 - A/834/2021 de localité sur route secondaire » (4.30), alors que l’expression « à l’extérieur des localités » ou « hors des localités » désigne une zone qui commence au signal « fin de localité sur route principale » ou « fin de localité sur route secondaire » et se termine au signal « début de localité sur route principale » ou « début de localité sur route secondaire ».</w:t>
      </w:r>
    </w:p>
    <w:p>
      <w:r>
        <w:rPr>
          <w:b/>
        </w:rPr>
        <w:t>E. 10</w:t>
      </w:r>
    </w:p>
    <w:p>
      <w:r>
        <w:t>L'art. 16c al. 2 let. a LCR prévoit qu'après une infraction grave, le permis de conduire est retiré pour trois mois au minimum. Si le conducteur a des antécédents (ce qui n'est pas le cas en l'occurrence), la durée minimum du retrait est supérieure (cf. art. 16c al. 2 let. b, c, d et e LCR).</w:t>
      </w:r>
    </w:p>
    <w:p>
      <w:r>
        <w:rPr>
          <w:b/>
        </w:rPr>
        <w:t>E. 11</w:t>
      </w:r>
    </w:p>
    <w:p>
      <w:r>
        <w:t>Selon l'art. 16 al. 3 LCR, les circonstances doivent être prises en considération pour fixer la durée du retrait du permis de conduire, notamment l'atteinte à la sécurité routière, la gravité de la faute, les antécédents en tant que conducteur, ainsi que la nécessité professionnelle de conduire un véhicule automobile. La durée minimale du retrait ne peut toutefois être réduite. Cette dernière règle, qui rend incompressibles les durées minimales de retrait des permis, s'impose à l'autorité et aux tribunaux sans dérogation possible, même pour tenir compte des besoins professionnels particuliers du conducteur ; le législateur a en effet entendu exclure expressément la possibilité ouverte par la jurisprudence sous l'ancien droit de réduire la durée minimale du retrait en présence de circonstances particulières, notamment en faveur de conducteurs professionnels (ATF 135 II 334 consid. 2.2 ; 132 II 234 consid. 2.3 ; arrêts du Tribunal fédéral 1C_414/2019 du 28 août 2019 consid. 2 ; 1C_535/2017 du 16 octobre 2017 consid. 3 ; 1C_102/2016 du 20 décembre 2016 consid. 2.5).</w:t>
      </w:r>
    </w:p>
    <w:p>
      <w:r>
        <w:rPr>
          <w:b/>
        </w:rPr>
        <w:t>E. 12</w:t>
      </w:r>
    </w:p>
    <w:p>
      <w:r>
        <w:t>En l'occurrence, le recourant ne conteste pas avoir dépassé la vitesse maximale autorisée de 25 km/h au volant de son véhicule sur un tronçon limité à 50 km/h et l'argumentation qu'il développe au sujet de la qualification du lieu où sa vitesse excessive a été contrôlée est sans pertinence. Comme relevé plus haut, le n° 36 de la route de Saint-Julien se trouve en effet dans une zone située peu après un panneau indicateur « Carouge », qui marque l'entrée de la localité à la sortie du tunnel de Carouge (d'où il arrivait visiblement, à teneur de son acte de recours) et une signalisation limitant la vitesse maximale à 50 km/h. Il est ainsi incontestable qu'il circulait à l'intérieur d'une localité (art. 1 al. 4 OSR). Il s'ensuit que l'excès de vitesse litigieux constitue une violation grave des règles de la circulation sous l’angle de l'art. 16c al. 1 let. a LCR. Le recourant a d'ailleurs été reconnu coupable d’infraction grave aux règles de la circulation routière (art. 90 al. 2 LCR) par le Ministère public le 4 janvier 2021. Le dossier ne contient aucun élément qui permettrait éventuellement de considérer le cas comme de moindre gravité. Le recourant n'en fait au demeurant pas état. Cela étant, l'OCV ne s'est pas écarté du minimum légal prévu par l'art. 16c al. 2 let. a LCR en fixant à trois mois la durée de retrait du permis de conduire du recourant. Etant liée par cette durée, qui constitue le minimum légal</w:t>
      </w:r>
    </w:p>
    <w:p>
      <w:r>
        <w:t>- 7/8 - A/834/2021 incompressible devant sanctionner l'infraction en cause, il n'a en aucune mesure excédé ou abusé de son pouvoir d'appréciation. La décision querellée est donc parfaitement conforme au droit.</w:t>
      </w:r>
    </w:p>
    <w:p>
      <w:r>
        <w:rPr>
          <w:b/>
        </w:rPr>
        <w:t>E. 13</w:t>
      </w:r>
    </w:p>
    <w:p>
      <w:r>
        <w:t>Ne reposant sur aucun motif valable, le recours sera rejeté.</w:t>
      </w:r>
    </w:p>
    <w:p>
      <w:r>
        <w:rPr>
          <w:b/>
        </w:rPr>
        <w:t>E. 14</w:t>
      </w:r>
    </w:p>
    <w:p>
      <w:r>
        <w:t>Vu l'issue du litige, un émolument de CHF 500.- sera mis à la charge du recourant, qui succombe, en application de l'art. 87 al. 1 LPA et du règlement sur les frais, émoluments et indemnités en procédure administrative du 30 juillet 1986 (RFPA - E 5 10.03). Ce dernier n'a pas droit à une indemnité de procédure (art. 87 al. 2 LPA a contrario).</w:t>
      </w:r>
    </w:p>
    <w:p>
      <w:r>
        <w:t>- 8/8 - A/834/2021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