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JTAPI/938/2024 vom 19. September 2024</w:t>
      </w:r>
    </w:p>
    <w:p>
      <w:r>
        <w:t>GE Cour de justice, 2024-09-19, FR</w:t>
      </w:r>
    </w:p>
    <w:p>
      <w:r>
        <w:rPr>
          <w:b/>
        </w:rPr>
        <w:t xml:space="preserve">Quelle: </w:t>
      </w:r>
      <w:r>
        <w:t>https://mcp.opencaselaw.ch/entscheid/ge_gerichte_JTAPI_938_2024</w:t>
      </w:r>
    </w:p>
    <w:p>
      <w:r>
        <w:t>FR: GE_GERICHTE JTAPI/938/2024 du 19 septembre 2024</w:t>
      </w:r>
    </w:p>
    <w:p>
      <w:r>
        <w:t>IT: GE_GERICHTE JTAPI/938/2024 del 19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t>- 12/14 - A/1508/2024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2ème éd., 2018, n. 515 p. 179).</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w:t>
      </w:r>
    </w:p>
    <w:p>
      <w:r>
        <w:t>- 10/14 - A/1508/2024 inférieure s'est prononcée ou aurait dû se prononcer (ATA/1218/2017 du 22 août 2017 consid. 3b ; ATA/421/2017 du 11 avril 2017 consid. 5 et les arrêts cités ; ATA/1145/2015 du 27 octobre 2015 consid. 4b).</w:t>
      </w:r>
    </w:p>
    <w:p>
      <w:r>
        <w:rPr>
          <w:b/>
        </w:rPr>
        <w:t>E. 5</w:t>
      </w:r>
    </w:p>
    <w:p>
      <w:r>
        <w:t>L'objet du recours porte sur l'amende de CHF 5'000.- prononcée le ______ 2024, prise en application de l'art. 137 LCI. Cette amende a été infligée au motif que le recourant ne s'est pas entièrement soumis aux décisions du département, notamment à la mesure d’exécution du 22 décembre 2023 portant sur la suppression totale de la haie d’ici au 10 janvier 2024 - délai prolongé à la demande du recourant au 17 février 2024 - et du biotope d’ici au 29 février 2024.</w:t>
      </w:r>
    </w:p>
    <w:p>
      <w:r>
        <w:rPr>
          <w:b/>
        </w:rPr>
        <w:t>E. 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7</w:t>
      </w:r>
    </w:p>
    <w:p>
      <w:r>
        <w:t>Est passible d'une amende administrative de CHF 100.- à CHF 150'000.- tout contrevenant à la LCI, à ses règlements d'application ainsi qu'aux ordres du département (art. 137 al. 1 LCI). Il est tenu compte, dans la fixation du montant de l'amende, du degré de gravité de l'infraction ; la violation des prescriptions par cupidité ainsi que les cas de récidive constituent notamment des circonstances aggravantes (art. 137 al. 3 LCI).</w:t>
      </w:r>
    </w:p>
    <w:p>
      <w:r>
        <w:rPr>
          <w:b/>
        </w:rPr>
        <w:t>E. 8</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w:t>
      </w:r>
    </w:p>
    <w:p>
      <w:r>
        <w:rPr>
          <w:b/>
        </w:rPr>
        <w:t>E. 9</w:t>
      </w:r>
    </w:p>
    <w:p>
      <w:r>
        <w:t>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w:t>
      </w:r>
    </w:p>
    <w:p>
      <w:r>
        <w:rPr>
          <w:b/>
        </w:rPr>
        <w:t>E. 10</w:t>
      </w:r>
    </w:p>
    <w:p>
      <w:r>
        <w:t>Les amendes administratives prévues par les législations cantonales sont de nature pénale, car aucun critère ne permet de les distinguer clairement des contraventions</w:t>
      </w:r>
    </w:p>
    <w:p>
      <w:r>
        <w:t>- 11/14 - A/1508/2024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11</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Il est ainsi en particulier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12</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13</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14</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15</w:t>
      </w:r>
    </w:p>
    <w:p>
      <w:r>
        <w:t>En l’espèce, le 10 févier 2000, le département a ordonné au recourant la remise en état de sa parcelle en supprimant notamment le biotope créé sans autorisation. Cette décision a été confirmée par le Tribunal administratif le ______ 2001 et est donc en force. Constatant en 2020 qu’un court de tennis avait notamment été construit et que le biotope n’avait pas été supprimé, le département a ordonné au recourant, le ______ 2020 de rétablir une situation conforme au droit en supprimant notamment le biotope et la haie entourant le court de tennis. Par jugement du 8 octobre 2021, confirmé par arrêt de la chambre administrative du ______ 2022, le tribunal a retenu que, s’agissant du biotope, le recours était irrecevable dans la mesure où l’ordre de remise en état était entré en force suite à l’arrêt du Tribunal administratif du ______ 2001 et que le courrier du ______ 2020 ne constituait donc qu’une mesure d’exécution. Il a par ailleurs rejeté le recours concernant l’ordre de remise en état du court de tennis et de la haie. Concernant la haie, force est de constater qu’il ressort des photographies transmises par le recourant le 17 février 2024 que la haie avait simplement été coupée à une trentaine de centimètres du sol. Le fait que cette taille ait été effectuée pendant l’hiver alors que le terrain était enneigé, empêchant selon le recourant de procéder à la suppression des souches n’a aucune incidence puisque le recourant savait, depuis le ______ 2022 qu’il devait procéder à la suppression totale de la haie et</w:t>
      </w:r>
    </w:p>
    <w:p>
      <w:r>
        <w:t>- 13/14 - A/1508/2024 qu’il devait donc prendre toutes les dispositions nécessaires pour se conformer à l’ordre de suppression dans le délai imparti – étant rappelé que ce délai a été prolongé à plusieurs reprises et que le recourant, dans ses correspondances du 19 octobre et 1er novembre 2023, indiquait que la taille avait déjà eu lieu en octobre 2023. Concernant le biotope, l’ordre de remise en état, consistant à sa suppression a été prononcé le 10 février 2000, soit il y a plus de 24 ans. Le recourant ne s’y est jamais conformé. Plusieurs mesures d’exécution ont été prises à son encontre par le département afin qu’il se conforme à son ordre, la dernière étant celle du 22 décembre 2023 impartissant un délai au 29 février 2024 pour s’exécuter. À cette date, le biotope n’avait pas été supprimé. Le fait que le recourant ait déposé une demande d’autorisation de construire pour tenter de régulariser le biotope le 30 avril 2024, n’a aucune incidence. Au vu de ce qui précède, il s’avère que le recourant ne s’est pas soumis aux diverses mesures d’exécution prises à son encontre suite au non-respect des ordres de remise en état portant tant sur le biotope que sur la haie, prononcé par le département dans les délais impartis. L’amende est donc fondée dans son principe.</w:t>
      </w:r>
    </w:p>
    <w:p>
      <w:r>
        <w:rPr>
          <w:b/>
        </w:rPr>
        <w:t>E. 16</w:t>
      </w:r>
    </w:p>
    <w:p>
      <w:r>
        <w:t>S'agissant du montant de l’amende, fixé à CHF 5'000.-, dès lors que le biotope n’a pas été autorisé – suite au refus d’autorisation du 10 févier 2000 – et que la haie n’a jamais fait l’objet d’une demande de régularisation, il se situe sur le bas de la fourchette autorisée par la loi, à savoir dans le cas présent un plafond de CHF 150'000.-. De plus, le recourant aurait dû remettre en état le biotope depuis 24 ans, il a fait l’objet de nombreuses mesures d’exécution auxquelles il ne s’est pas conformé et de plusieurs reports de délais pour s’exécuter. Enfin, il a déjà fait l’objet d’une amende de CHF 500.- en date du ______ 2023 pour ne pas avoir entièrement donné suite aux ordres du département, qui n’a visiblement pas eu d’effet sur son comportement. Au surplus, le recourant ne démontre ni ne soutient que le paiement de cette amende l’exposerait à des difficultés financières particulières. Dans ces conditions, force est de constater que le département n'a pas excédé son pouvoir d'appréciation en fixant le montant de l’amende à CHF 5'000.-.</w:t>
      </w:r>
    </w:p>
    <w:p>
      <w:r>
        <w:rPr>
          <w:b/>
        </w:rPr>
        <w:t>E. 17</w:t>
      </w:r>
    </w:p>
    <w:p>
      <w:r>
        <w:t>En tous points mal fondé, le recours sera rejeté et l’amende confirmée.</w:t>
      </w:r>
    </w:p>
    <w:p>
      <w:r>
        <w:rPr>
          <w:b/>
        </w:rPr>
        <w:t>E. 18</w:t>
      </w:r>
    </w:p>
    <w:p>
      <w:r>
        <w:t>En application des art. 87 al. 1 LPA et 1 et 2 du règlement sur les frais, émoluments et indemnités en procédure administrative du 30 juillet 1986 (RFPA - E 5 10.03), le recourant est condamné au paiement d’un émolument s'élevant à CHF 900.- ; il est couvert par l’avance de frais versée à la suite du dépôt du recours. Vu l’issue du litige, aucune indemnité de procédure ne sera allouée (art. 87 al. 2 LPA).</w:t>
      </w:r>
    </w:p>
    <w:p>
      <w:r>
        <w:t>- 14/14 - A/1508/2024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