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JTAPI/937/2023 vom 17. Oktober 2016</w:t>
      </w:r>
    </w:p>
    <w:p>
      <w:r>
        <w:t>GE Cour de justice, 2016-10-17, FR</w:t>
      </w:r>
    </w:p>
    <w:p>
      <w:r>
        <w:rPr>
          <w:b/>
        </w:rPr>
        <w:t xml:space="preserve">Quelle: </w:t>
      </w:r>
      <w:r>
        <w:t>https://mcp.opencaselaw.ch/entscheid/ge_gerichte_JTAPI_937_2023</w:t>
      </w:r>
    </w:p>
    <w:p>
      <w:r>
        <w:t>FR: GE_GERICHTE JTAPI/937/2023 du 17 octobre 2016</w:t>
      </w:r>
    </w:p>
    <w:p>
      <w:r>
        <w:t>IT: GE_GERICHTE JTAPI/937/2023 del 17 ottobre 2016</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29 août 2023 à 18h03.</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w:t>
      </w:r>
    </w:p>
    <w:p>
      <w:r>
        <w:t>- 6/10 - A/2693/2023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6</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7</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8</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9</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t>- 7/10 - A/2693/2023</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11</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12</w:t>
      </w:r>
    </w:p>
    <w:p>
      <w:r>
        <w:t>En l'espèce, M. A______ fait l'objet d'une mesure d’expulsion judiciaire de Suisse d’une durée de dix ans prononcée le 15 décembre 2022 par la CPR. Il a été condamné pour escroquerie par métier, infraction constitutive de crime au sens de l’art. 10 CP.</w:t>
      </w:r>
    </w:p>
    <w:p>
      <w:r>
        <w:t>- 8/10 - A/2693/2023 Il n’a cependant jamais quitté la Suisse, que ce soit dans le délai initialement imparti que dans celui, prolongé par l’OCPM au 28 août 2023 devant lui permettre, pendant les trois semaines lors desquels il était en liberté suite à sa sortie de prison le 7 août dernier, de régler ses affaires et préparer son départ. Au contraire, M. A______ a sollicité une nouvelle prolongation de son délai de départ pour un mois et demi – laquelle a été refusée -, s’est opposé à son renvoi par vol du 29 août 2023 et continue de déclarer qu’il s’oppose à son renvoi au Kosovo. Le fait qu’il se soit présenté régulièrement à la police et qu’il soit prêt à continuer à le faire ne suffit pas à garantir sa présence lorsque son renvoi devra être effectué. Enfin, l’opération qu’il devrait subir le 17 octobre 2023 ne constitue aucunement un motif permettant à M. A______ de demeurer en Suisse. Par ailleurs, aucun élément du dossier en permet de retenir que cette opération ne pourrait être réalisée au Kosovo, les dires de M. A______ à ce sujet n’étant aucunement étayés. Pour terminer, la femme et les enfants de M. A______ se trouvent en France voisine et M. A______ entretien de forts contact avec eux. Au vu de ce qui précède, le risque que M. A______ se soustraie à son renvoi afin de rester en Suisse, voire se rendre en France, pays dans lequel il n’est aucunement autorisé à résider, pour s’installer avec sa famille, est élevé. Dès lors, les conditions légales de mise en détention sont réalisées. L'assurance de son départ de Suisse répond par ailleurs à un intérêt public certain et aucune mesure moins incisive que la détention administrative ne peut être envisagée pour assurer sa présence au moment où il devra monter à bord du vol devant le ramener dans son pays d'origine.</w:t>
      </w:r>
    </w:p>
    <w:p>
      <w:r>
        <w:rPr>
          <w:b/>
        </w:rPr>
        <w:t>E. 13</w:t>
      </w:r>
    </w:p>
    <w:p>
      <w:r>
        <w:t>Concernant le démarches entreprises, l'autorité chargée du renvoi a agi avec diligence et célérité, dès lors qu'elle a déjà obtenu deux billets d’avion – pour le 7 et 29 août 2023 – pour procéder au refoulement de M. A______ et que, face aux échecs de ces deux renvois, elle se voit dans l’obligation d’entreprendre des démarches en vue d’organiser un renvoi par vol avec escorte policière, lesquelles peuvent prendre un certain temps.</w:t>
      </w:r>
    </w:p>
    <w:p>
      <w:r>
        <w:rPr>
          <w:b/>
        </w:rPr>
        <w:t>E. 14</w:t>
      </w:r>
    </w:p>
    <w:p>
      <w:r>
        <w:t>Quant à la durée de la détention, elle ne saurait être réduite vu les démarches à entreprendre encore et l'opposition répétée de l'intéressé à son renvoi elle respecte l’art. 79 LEI.</w:t>
      </w:r>
    </w:p>
    <w:p>
      <w:r>
        <w:rPr>
          <w:b/>
        </w:rPr>
        <w:t>E. 15</w:t>
      </w:r>
    </w:p>
    <w:p>
      <w:r>
        <w:t>Au vu de ce qui précède, il y a lieu de confirmer l'ordre de mise en détention administrative de M. A______ pour une durée de trois mois.</w:t>
      </w:r>
    </w:p>
    <w:p>
      <w:r>
        <w:t>- 9/10 - A/2693/2023</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A/2693/2023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