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JTAPI/936/2024 vom 19. September 2024</w:t>
      </w:r>
    </w:p>
    <w:p>
      <w:r>
        <w:t>GE Cour de justice, 2024-09-19, FR</w:t>
      </w:r>
    </w:p>
    <w:p>
      <w:r>
        <w:rPr>
          <w:b/>
        </w:rPr>
        <w:t xml:space="preserve">Quelle: </w:t>
      </w:r>
      <w:r>
        <w:t>https://mcp.opencaselaw.ch/entscheid/ge_gerichte_JTAPI_936_2024</w:t>
      </w:r>
    </w:p>
    <w:p>
      <w:r>
        <w:t>FR: GE_GERICHTE JTAPI/936/2024 du 19 septembre 2024</w:t>
      </w:r>
    </w:p>
    <w:p>
      <w:r>
        <w:t>IT: GE_GERICHTE JTAPI/936/2024 del 19 settembre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64 LPA.</w:t>
      </w:r>
    </w:p>
    <w:p>
      <w:r>
        <w:rPr>
          <w:b/>
        </w:rPr>
        <w:t>E. 3</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À défaut, un bref délai pour satisfaire à ces exigences est fixé au recourant, sous peine d’irrecevabilité (art. 65 al. 2 LPA).</w:t>
      </w:r>
    </w:p>
    <w:p>
      <w:r>
        <w:rPr>
          <w:b/>
        </w:rPr>
        <w:t>E. 4</w:t>
      </w:r>
    </w:p>
    <w:p>
      <w:r>
        <w:t>Compte tenu du caractère peu formaliste de cette disposition, la jurisprudence fait preuve d'une certaine souplesse s'agissant de la manière par laquelle sont formulées les conclusions du recourant, notamment si le recourant agit en personne.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(ATA/64/2021 du 19 janvier 2021 consid. 2 ; ATA/1790/2019 du 10 décembre 2019 ; ATA/1199/2019 du 30 juillet 2019). Pour y satisfaire, le recourant doit discuter les motifs de la décision entreprise et indiquer précisément en quoi et pourquoi il estime que l'autorité précédente a méconnu le droit (ATF 133 II 249 consid. 1.4.2). En particulier, la motivation doit se rapporter à l'objet du litige tel qu'il est circonscrit par la décision attaquée (ATF 133 IV 119 consid. 6.4) et le recourant doit se référer à des motifs qui entrent dans le pouvoir d'examen de l'autorité de recours (ATA/32/2010 du 19 janvier 2010).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à la décision attaquée et d'expliquer en quoi et pourquoi il s'en prend à celle-ci (ATA/596/2011 du 20 septembre 2011 consid. 5 ; ATA/32/2010 du 19 janvier 2010 et les références citées). Il serait contraire au texte même de la loi de renoncer à ces exigences minimales (ATA/239/2013 du 16 avril 2013 ; ATA/173/2004 du 2 mars 2004).</w:t>
      </w:r>
    </w:p>
    <w:p>
      <w:r>
        <w:rPr>
          <w:b/>
        </w:rPr>
        <w:t>E. 5</w:t>
      </w:r>
    </w:p>
    <w:p>
      <w:r>
        <w:t>Les conclusions doivent être formées dans le délai de recours. En effet, l’absence de conclusions ne peut être réparée que dans le délai de recours. Hors ce délai, le fait d’être autorisé à compléter une écriture ne permet pas de suppléer le défaut de conclusions. De nouvelles conclusions ne peuvent pas non plus être présentées dans le mémoire de réplique (ATA/991/2021 du 27 septembre 2021 consid. 2b et les</w:t>
      </w:r>
    </w:p>
    <w:p>
      <w:r>
        <w:t>- 8/15 - A/973/2024 références citées), à moins qu'elles ne réduisent l'objet du litige (ATA/34/2014 du 21 janvier 2014 consid. 3 et les références citées). Partant, un recourant est en droit de faire valoir un nouvel argument au stade de sa réplique si celui-ci s’insère dans le cadre de sa conclusion initiale.</w:t>
      </w:r>
    </w:p>
    <w:p>
      <w:r>
        <w:rPr>
          <w:b/>
        </w:rPr>
        <w:t>E. 6</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 3.1).</w:t>
      </w:r>
    </w:p>
    <w:p>
      <w:r>
        <w:rPr>
          <w:b/>
        </w:rPr>
        <w:t>E. 7</w:t>
      </w:r>
    </w:p>
    <w:p>
      <w:r>
        <w:t>En l’espèce, l’acte de recours identifie clairement la décision attaquée. S'il est vrai que le recourant, qui a, lors du dépôt du recours, agi en personne, conclut à cette occasion à sa reconsidération, la lecture de ses écritures permet toutefois de comprendre qu'il est simplement en désaccord avec la décision querellée, qu'il demande que l'autorisation sollicitée lui soit accordée et non pas que la décision soit reconsidérée au sens de l'art. 48 LPA. Par ailleurs, le recourant explique en quoi cette décision est critiquable et énonce plusieurs griefs qui permettent de cerner avec suffisamment de précision l'objet du litige. Quant à l’autorité intimée, elle a pu comprendre les raisons qui amenaient le recourant à contester la décision litigieuse et y répondre en détail à l'occasion des échanges d'écritures. Il est par ailleurs relevé que le recourant, par le biais de son conseil, était en droit de faire valoir de nouveaux griefs au stade de sa réplique, ceux-ci précisant ceux formulés dans l’acte de recours et s’insérant au surplus dans le cadre de sa conclusion initiale. Au vu de ce qui précède, le recours interjeté par le recourant remplit les conditions posées par l’art. 65 LPA, de sorte qu’il est recevable sous cet angle également.</w:t>
      </w:r>
    </w:p>
    <w:p>
      <w:r>
        <w:rPr>
          <w:b/>
        </w:rPr>
        <w:t>E. 8</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arrêt du Tribunal fédéral 1C_107/2016 du 28 juillet 2016 consid. 9). Elle doit en outre en outre utiliser sa marge de manœuvre conformément à ses devoirs en tenant</w:t>
      </w:r>
    </w:p>
    <w:p>
      <w:r>
        <w:t>- 9/15 - A/973/2024 compte du but de la loi, afin de servir au mieux l'intérêt public (Thierry TANQUEREL, Manuel de droit administratif, 2ème édition, 2018, p. 179 n. 513).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être liée, alors que la loi l'autorise à statuer selon son appréciation, ou qu'elle renonce d'emblée, en tout ou partie, à exercer son pouvoir d'appréciation (ATF 137 V 71 consid. 5.1 ; 116 V 307 consid. 2 et les références citées ; arrêts du Tribunal fédéral 5A_472/2016 du 14 février 2017 consid. 5.1.2 ; 1C_263/2013 du 14 mai 2013 consid. 3.1), par exemple en appliquant des solutions trop schématiques ne tenant pas compte des particularités des cas d'espèce, que l'octroi du pouvoir d'appréciation avait justement pour but de prendre en considération ; on peut alors estimer qu'en refusant d'appliquer les critères de décision prévus explicitement ou implicitement par la loi, l'autorité viole directement celle-ci (cf. Thierry TANQUEREL, Manuel de droit administratif, 2018, n. 514 p. 179).</w:t>
      </w:r>
    </w:p>
    <w:p>
      <w:r>
        <w:rPr>
          <w:b/>
        </w:rPr>
        <w:t>E. 9</w:t>
      </w:r>
    </w:p>
    <w:p>
      <w:r>
        <w:t>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cf. aussi ATF 140 III 86 consid. 2 ; 138 II 331 consid. 1.3 ; 137 II 313 consid. 1.4).</w:t>
      </w:r>
    </w:p>
    <w:p>
      <w:r>
        <w:rPr>
          <w:b/>
        </w:rPr>
        <w:t>E. 10</w:t>
      </w:r>
    </w:p>
    <w:p>
      <w:r>
        <w:t>Selon le recourant, en rendant la décision querellée le département aurait violé l'art. 59 al. 3bis LCI en abusant de son pouvoir d'appréciation. La décision querellée serait également contraire aux principes d'égalité de traitement, de garantie de la propriété et serait arbitraire.</w:t>
      </w:r>
    </w:p>
    <w:p>
      <w:r>
        <w:rPr>
          <w:b/>
        </w:rPr>
        <w:t>E. 11</w:t>
      </w:r>
    </w:p>
    <w:p>
      <w:r>
        <w:t>L’art. 1 al. 1 LCI prévoit que sur tout le territoire du canton nul ne peut, sans y avoir été autorisé élever en tout ou partie une construction ou une installation (let. a). Par ailleurs, dès que les conditions légales sont réunies, le département est tenu de délivrer l’autorisation de construire (art. 1 al. 6 LCI).</w:t>
      </w:r>
    </w:p>
    <w:p>
      <w:r>
        <w:rPr>
          <w:b/>
        </w:rPr>
        <w:t>E. 12</w:t>
      </w:r>
    </w:p>
    <w:p>
      <w:r>
        <w:t>L'art. 59 al. 3bis LCI, adopté le 1er octobre 2020, dispose qu'une surface en pleine terre, à savoir dénuée de toute construction en surface ou en sous-sol et non revêtue, de la parcelle ou du groupe de parcelles considérées par la demande d’autorisation de construire doit être préservée.</w:t>
      </w:r>
    </w:p>
    <w:p>
      <w:r>
        <w:rPr>
          <w:b/>
        </w:rPr>
        <w:t>E. 13</w:t>
      </w:r>
    </w:p>
    <w:p>
      <w:r>
        <w:t>Le principe de la préservation de la pleine terre en zone 5 a été introduit dans le guide publié par le canton « Les nouveaux quartiers-jardins du XXIe siècle » visant une densification de qualité de la zone 5 sans modification de zone à Genève, pour</w:t>
      </w:r>
    </w:p>
    <w:p>
      <w:r>
        <w:t>- 10/15 - A/973/2024 répondre à la problématique de l'imperméabilisation des sols. Au chapitre consacré à l'« état des lieux » (version juin 2017, p. 7 ss), le guide relevait en effet : « avec l'augmentation de l'indice d'utilisation du sol on assiste aussi à l'augmentation de l'emprise des bâtiments (et des annexes) pouvant dépasser les 60 % de la surface des parcelles concernées. Avec les stationnements de surface, les terrasses en dur et les souterrains, cette occupation du bâti a pour conséquence une forte imperméabilisation des sols et génère des problèmes de ruissellement et récupération des eaux de pluie ». Sous le chapitre « les enjeux de la densification », il fixait des principes généraux visant notamment « à conserver des espaces plantés en pleine terre en proportion suffisante en limitant, en même temps, l'imperméabilisation des sols » et introduisait également la mention de l'IVER.</w:t>
      </w:r>
    </w:p>
    <w:p>
      <w:r>
        <w:rPr>
          <w:b/>
        </w:rPr>
        <w:t>E. 14</w:t>
      </w:r>
    </w:p>
    <w:p>
      <w:r>
        <w:t>Dans le cadre de l'examen du projet de loi portant sur la modification de l'art. 59 al. 4 LCI (PL 12'566), un député avait proposé d'ajouter un alinéa 3bis à l'art. 59 LCI dont la teneur serait la suivante : « une surface en pleine terre, à savoir dénuée de toute construction en surface ou en sous-sol et non revêtue, correspondant au minimum à 40 % de la surface de la parcelle ou du groupe de parcelles considérées par la demande d'autorisation de construire doit en principe être préservée » (rapport du 11 août 2020 de la commission d'aménagement du canton chargée d'étudier le PL 12'566-A). Il résulte des débats devant le Grand Conseil que le Président du Conseil d'État, en réponse à la question de l'introduction du pourcentage minimal de 40 % de surface en pleine terre, a expliqué : « Sur cette base, nous allons travailler pour mettre à jour d'ici la fin de l'année une grille des critères de qualité qui permettra de valoriser la question de la pleine terre - elle doit tendre vers les 40%, mais il y a toujours des cas qui requièrent des dérogations. C'est pourquoi il me semblerait faux d'introduire des règles urbanistiques au niveau législatif : elles relèvent de la CA, mais aussi des professionnels et des discussions avec les communes. Ce guide qualité exposera donc une démarche que les propriétaires et promoteurs devront suivre et défendre face à la CA, qui sera la gardienne du temple de cette notion de qualité » (MGC, séance du jeudi 1er octobre 2020 à 20h30- 1er débat). L'amendement concernant l'art. 59 al. 3bis LCI a été adopté sans qu'un pourcentage soit fixé.</w:t>
      </w:r>
    </w:p>
    <w:p>
      <w:r>
        <w:rPr>
          <w:b/>
        </w:rPr>
        <w:t>E. 15</w:t>
      </w:r>
    </w:p>
    <w:p>
      <w:r>
        <w:t>Dans l’exercice de la compétence que lui confère l’art. 59 al. 3bis LCI, le département dispose d’une grande liberté d’appréciation celle-ci n'étant limitée que par l'excès ou l'abus du pouvoir d'appréciation (art. 61 al. 2 LPA).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les prendre en considération en vue d'assurer une application uniforme de la loi envers chaque administré.</w:t>
      </w:r>
    </w:p>
    <w:p>
      <w:r>
        <w:t>- 11/15 - A/973/2024 Il ne doit cependant en tenir compte que si elles respectent le sens et le but de la norme applicable (ATF 129 V 205 consid. 3.2 ; 127 V 61 consid. 3a ; ATA/552/2013 du 27 août 2013 ; ATA/114/2010 du 16 février 2010). Ces directives ne dispensent pas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138 II 536 consid. 5.4.3 ; 133 II 305 consid. 8.1). Ces principes sont applicables mutatis mutandis en droit cantonal (ATA/1278/2018 précité consid. 10b ; ATA/1000/2018 du 25 septembre 2018 consid. 6d).</w:t>
      </w:r>
    </w:p>
    <w:p>
      <w:r>
        <w:rPr>
          <w:b/>
        </w:rPr>
        <w:t>E. 16</w:t>
      </w:r>
    </w:p>
    <w:p>
      <w:r>
        <w:t>En janvier 2021, le département a publié en ligne une « Marche à suivre pour la densification de la zone 5, Modalités d’application du nouvel article 59 LCI » (ci-après : la marche à suivre) » (https://www.ge.ch/document/marche-suivre- densification-zone-5-mise-jour-2022). Cette marche à suivre décrit les nouvelles exigences de contenu et de forme à respecter dans la zone 5, tant pour les projets de construction que pour les plans directeurs communaux. Elle vise notamment à renforcer la qualité des projets de densification et à améliorer leur intégration dans le contexte local, tout en limitant leur impact environnemental » (p. 6). En effet, « chaque nouvelle construction dans la zone 5 participe au processus de transformation du territoire. Pour préserver la qualité de vie dans ces secteurs qui bénéficient d'une végétalisation importante, il est nécessaire de veiller à la bonne prise en compte des aspects notamment patrimoniaux et environnementaux » (p. 8). Pour toute les demandes d'autorisation de construire en zone 5, le dossier doit fournir une information concernant la pleine terre et l'IVER. Celui-ci quantifie les effets induits de la construction sur les trois éléments naturels suivants : pleine terre, stratégie végétale et eau (p. 10). Dans le cadre de la présentation du projet, « il s'agit de préciser comment le projet contribue au maintien et au développement de la qualité paysagère du site dans lequel il s'inscrit ». Pour la pleine terre, « un plan ou schéma doit illustrer les différents types d'espaces non bâtis en pleine terre, de la situation projetée et, selon leur taille et l'implantation du projet (espaces majeurs/résiduels). On entend par espaces majeurs en pleine terre, les espaces d'un seul tenant pouvant par exemple accueillir la plantation d'arbres de première et deuxième grandeur. Une valeur cible de 40 % de pleine terre sera recherchée, l'objectif étant de ménager des espaces en suffisance permettant d'accueillir des sujets d'une certaine importance, ceux-ci caractérisant la zone 5 » (p. 13). Dans sa version mise à jour en novembre 2022, la marche à suivre n'indique plus le pourcentage de pleine terre recherchée mais prévoit : « Une quantité de pleine terre cohérente avec les enjeux de paysage, de biodiversité et les usages souhaités sera recherchée, en lien avec la stratégie de densification zone 5 du PDCom approuvé le cas échéant » (p. 13), précisant aussi que la pleine terre est une des composantes de l'indicateur qualitatif de verdure (ci-après: IQVER ; p. 9).</w:t>
      </w:r>
    </w:p>
    <w:p>
      <w:r>
        <w:t>- 12/15 - A/973/2024 Cette version de la marche à suivre précise également le rôle de la CA. Cette dernière « instruit toutes les demandes d’autorisation de construire en zone 5. En application du cadre légal, la CA doit analyser la compatibilité du projet avec « le caractère, l’harmonie et l’aménagement du quartier ». Elle doit désormais également évaluer le projet à l'échelle du groupe de parcelles. Pour cela elle prend en compte, d'une part, la quantité de pleine terre préservée par le projet, et d'autre part, elle se base sur le PDCom, notamment en ce qui concerne les secteurs de densification accrue et les voies à créer ou à modifier. En l'absence d'un PDCom approuvé, la CA applique les critères d'évaluation présentés dans le schéma du chapitre A.2 de la marche à suivre et utilise la note explicative produite par le requérant pour produire son préavis (p. 14). De plus, selon la directive LCI 021-v7 sur le rapport des surfaces en zone 5 émise par le département le 1er mars 2013 et modifiée le 15 août 2022 (ci-après: directive 021-v7 ; https://www.ge.ch/document/4365/telecharger), il est précisé, s'agissant de l'art. 59 al. 3bis LCI, que « cet alinéa indique qu'une surface pleine terre doit être préservée. Il définit précisément la notion de pleine terre. Par contre, il ne définit rien sur les aspects qualitatif ou quantitatif de cette dernière. A cette effet, le département a établi une marche à suivre intitulée « Densification de la zone 5 » (www.ge.ch/document/marche-suivre-densification-zone-5). Selon l'expérience de la CA, il peut être considéré, en règle générale, qu'une surface pleine terre inférieure à 40% n'est ni qualitative, ni suffisamment quantitative. À l'inverse une surface supérieure à 60% peut être considérée comme suffisamment quantitative et qualitative ». S’il ressort ainsi d'une interprétation historique de l'art. 59 al. 3bis LCI que le législateur a renoncé à fixer un ratio minimal de surface de pleine terre afin de conférer une importante marge de manœuvre au département, sous réserve d'un préavis défavorable de la CA, il en ressort néanmoins que la proportion de surface de pleine terre devrait, dans la mesure du possible, avoisiner les 40%.</w:t>
      </w:r>
    </w:p>
    <w:p>
      <w:r>
        <w:rPr>
          <w:b/>
        </w:rPr>
        <w:t>E. 17</w:t>
      </w:r>
    </w:p>
    <w:p>
      <w:r>
        <w:t>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Toutefois, lorsqu'un préavis est obligatoire, il convient de ne pas le minimiser (ATA/462/2020 du 7 mai 2020 consid.18 et les références citées). Selon une jurisprudence bien établie, chaque fois que l'autorité inférieure suit les préavis requis, la juridiction de recours doit s'imposer une certaine retenue, qui est fonction de son aptitude à trancher le litige (ATA/284/2016 du 5 avril 2016 consid. 7c ; ATA/109/2008 du 11 mars 2008 consid. 4 ; Thierry TANQUEREL, op. cit.,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w:t>
      </w:r>
    </w:p>
    <w:p>
      <w:r>
        <w:t>- 13/15 - A/973/2024 protection fixés par la loi (ATA/284/2016 précité consid. 7c ; ATA/51/2013 du 29 janvier 2013 consid. 5d).</w:t>
      </w:r>
    </w:p>
    <w:p>
      <w:r>
        <w:rPr>
          <w:b/>
        </w:rPr>
        <w:t>E. 18</w:t>
      </w:r>
    </w:p>
    <w:p>
      <w:r>
        <w:t>En l'espèce, la parcelle ne faisant l'objet d'aucun PLQ, les normes de la zone 5, et plus particulièrement l’art. 59 al. 3bis LCI sont applicables à la demande d'autorisation de construire querellée, ce qui n'est pas contesté. La CA a analysé le projet soumis à son examen et s'est déterminée défavorablement à la première version projetée, retenant que la surface de pleine terre était insuffisante et que le projet péjorait l'espace libre intéressant. Le recourant a alors modifié son projet en réduisant la surface de la piscine et de son dallage de 5.51 m2. Il a également proposé de réduire la surface de la terrasse existante. La CA a toutefois estimé, dans son second préavis, que la réduction de la piscine restait mineure et que la surface de pleine terre demeurait insuffisante, sans toutefois donner plus de précision notamment sur ce qui, pour elle, était admissible. Le recourant a alors à nouveau revu son projet en réduisant la surface de la piscine et de son dallage de 3.5 m2 supplémentaires, en maintenant la proposition de réduire la surface de la terrasse, en rapprochant la piscine de la terrasse, en modifiant son orientation et en projetant la plantation d'un arbre dans l'espace libre. La CA a toutefois rendu un troisième préavis défavorable, indiquant que malgré la légère réduction de la terrasse, la surface de pleine terre restait insuffisante et que l'emplacement de la piscine péjorait l'espace vert. Il ressort des pièces du dossier qu'en réduisant la surface de la piscine projetée et de la terrasse existante, le recourant a fait évoluer le pourcentage de surface de pleine terre de son projet de 44.05% dans le projet initial, à 47.39% dans le dernier projet qui a été refusé. En modifiant l'emplacement et l'orientation de la piscine, initialement proche de la haie, il a également permis le maintien d'un espace d'un seul tenant pouvant par ailleurs accueillir un nouvel arbre. Comme rappelé plus haut, le but de l’art. 59 al. 3bis LCI vise en particulier à favoriser une certaine végétation caractérisant la zone 5 et éviter l'imperméabilisation des sols. Aucune valeur n’est proposée par la marche à suivre ; le département dispose dès lors d’une marge d'appréciation pour appréhender chaque cas d'espèce en fonction des circonstances, en se fondant en particulier sur les préavis rendus dans le cadre de l’instruction de la requête. En l’espèce, les différentes modifications apportées ont permis une évolution positive du projet tant d'un point de vue quantitatif, en augmentant le pourcentage de surface de pleine terre, que d'un point de vue qualitatif en permettant la conservation d'un espace d'un seul tenant. Ces modifications successives n'ont pourtant pas satisfait la CA sans toutefois qu’elle explique ce qu’elle attendait de plus. Le département a refusé le projet faisant siens les préavis défavorables recueillis. Or, au vu des modifications successives apportées au projet et en l'absence de motivation spécifique de la CA de ce qu’elle souhaitait précisément pour rendre une préavis favorable, dans ses préavis défavorables, et alors que le projet permet de maintenir un pourcentage de pleine terre de 47.39%, soit au-delà</w:t>
      </w:r>
    </w:p>
    <w:p>
      <w:r>
        <w:t>- 14/15 - A/973/2024 des 40% dont il est fait référence dans la directive précitée, le tribunal estime que le département a abusé de son pouvoir d'appréciation et aurait dû délivrer l'autorisation sollicitée en s’écartant du préavis de la CA.</w:t>
      </w:r>
    </w:p>
    <w:p>
      <w:r>
        <w:rPr>
          <w:b/>
        </w:rPr>
        <w:t>E. 19</w:t>
      </w:r>
    </w:p>
    <w:p>
      <w:r>
        <w:t>Au vu de ce qui précède, le recours sera admis, la décision litigieuse annulée, et le dossier renvoyé au département pour délivrance d’une autorisation au sens des considérants.</w:t>
      </w:r>
    </w:p>
    <w:p>
      <w:r>
        <w:rPr>
          <w:b/>
        </w:rPr>
        <w:t>E. 20</w:t>
      </w:r>
    </w:p>
    <w:p>
      <w:r>
        <w:t>Vu l'issue du litige, il ne sera pas perçu d'émolument (art. 87 al. 1 LPA et 1 et 2 du règlement sur les frais, émoluments et indemnités en procédure administrative du 30 juillet 1986 - RFPA - E 5 10.03). L'émolument versé par le recourant lui sera restitué.</w:t>
      </w:r>
    </w:p>
    <w:p>
      <w:r>
        <w:rPr>
          <w:b/>
        </w:rPr>
        <w:t>E. 21</w:t>
      </w:r>
    </w:p>
    <w:p>
      <w:r>
        <w:t>Une indemnité de procédure de CHF 1’500.-, à la charge du département sera allouée au recourant (art. 87 al. 2 à 4 LPA et 6 RFPA).</w:t>
      </w:r>
    </w:p>
    <w:p>
      <w:r>
        <w:t>- 15/15 - A/973/2024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